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53DD8F18" w14:textId="77777777" w:rsidR="00495A55" w:rsidRPr="0036086B" w:rsidRDefault="00495A55" w:rsidP="00495A55">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5C77FA1" w14:textId="77777777" w:rsidR="00495A55" w:rsidRPr="0036086B" w:rsidRDefault="00495A55" w:rsidP="00495A55">
      <w:pPr>
        <w:tabs>
          <w:tab w:val="left" w:pos="8550"/>
        </w:tabs>
        <w:jc w:val="center"/>
        <w:rPr>
          <w:rFonts w:ascii="Arial" w:hAnsi="Arial" w:cs="Arial"/>
          <w:b/>
          <w:bCs/>
          <w:color w:val="0D304A"/>
          <w:sz w:val="32"/>
          <w:szCs w:val="32"/>
        </w:rPr>
      </w:pPr>
      <w:r>
        <w:rPr>
          <w:rFonts w:ascii="Arial" w:hAnsi="Arial" w:cs="Arial"/>
          <w:b/>
          <w:bCs/>
          <w:color w:val="0D304A"/>
          <w:sz w:val="32"/>
          <w:szCs w:val="32"/>
        </w:rPr>
        <w:t>January 3</w:t>
      </w:r>
      <w:r w:rsidRPr="0036086B">
        <w:rPr>
          <w:rFonts w:ascii="Arial" w:hAnsi="Arial" w:cs="Arial"/>
          <w:b/>
          <w:bCs/>
          <w:color w:val="0D304A"/>
          <w:sz w:val="32"/>
          <w:szCs w:val="32"/>
        </w:rPr>
        <w:t>, 202</w:t>
      </w:r>
      <w:r>
        <w:rPr>
          <w:rFonts w:ascii="Arial" w:hAnsi="Arial" w:cs="Arial"/>
          <w:b/>
          <w:bCs/>
          <w:color w:val="0D304A"/>
          <w:sz w:val="32"/>
          <w:szCs w:val="32"/>
        </w:rPr>
        <w:t>2</w:t>
      </w:r>
    </w:p>
    <w:p w14:paraId="0178439F" w14:textId="77777777" w:rsidR="00495A55" w:rsidRPr="0036086B" w:rsidRDefault="00495A55" w:rsidP="00495A55">
      <w:pPr>
        <w:tabs>
          <w:tab w:val="left" w:pos="8550"/>
        </w:tabs>
        <w:jc w:val="center"/>
        <w:rPr>
          <w:rFonts w:ascii="Arial" w:hAnsi="Arial" w:cs="Arial"/>
          <w:b/>
          <w:bCs/>
          <w:color w:val="639D3F"/>
          <w:sz w:val="32"/>
          <w:szCs w:val="32"/>
        </w:rPr>
      </w:pPr>
    </w:p>
    <w:p w14:paraId="7DC6CF40" w14:textId="77777777" w:rsidR="00495A55" w:rsidRPr="0036086B" w:rsidRDefault="00495A55" w:rsidP="00495A55">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4F09B5B3" w14:textId="77777777" w:rsidR="00495A55" w:rsidRDefault="00495A55" w:rsidP="00495A55">
      <w:pPr>
        <w:tabs>
          <w:tab w:val="left" w:pos="8550"/>
        </w:tabs>
        <w:rPr>
          <w:rFonts w:ascii="Arial" w:hAnsi="Arial" w:cs="Arial"/>
          <w:bCs/>
          <w:color w:val="000000" w:themeColor="text1"/>
        </w:rPr>
      </w:pPr>
    </w:p>
    <w:p w14:paraId="428C652D" w14:textId="77777777" w:rsidR="00495A55" w:rsidRDefault="00495A55" w:rsidP="00495A55">
      <w:pPr>
        <w:tabs>
          <w:tab w:val="left" w:pos="8550"/>
        </w:tabs>
        <w:rPr>
          <w:rFonts w:ascii="Arial" w:hAnsi="Arial" w:cs="Arial"/>
          <w:bCs/>
          <w:color w:val="000000" w:themeColor="text1"/>
          <w:sz w:val="22"/>
          <w:szCs w:val="22"/>
        </w:rPr>
      </w:pPr>
      <w:r w:rsidRPr="0085496D">
        <w:rPr>
          <w:rFonts w:ascii="Arial" w:hAnsi="Arial" w:cs="Arial"/>
          <w:bCs/>
          <w:color w:val="000000" w:themeColor="text1"/>
          <w:sz w:val="22"/>
          <w:szCs w:val="22"/>
        </w:rPr>
        <w:t>2021 was a fizzing mints-in-soda kind of year.</w:t>
      </w:r>
      <w:r>
        <w:rPr>
          <w:rFonts w:ascii="Arial" w:hAnsi="Arial" w:cs="Arial"/>
          <w:bCs/>
          <w:color w:val="000000" w:themeColor="text1"/>
          <w:sz w:val="22"/>
          <w:szCs w:val="22"/>
        </w:rPr>
        <w:t xml:space="preserve"> </w:t>
      </w:r>
    </w:p>
    <w:p w14:paraId="1F123E53" w14:textId="77777777" w:rsidR="00495A55" w:rsidRDefault="00495A55" w:rsidP="00495A55">
      <w:pPr>
        <w:tabs>
          <w:tab w:val="left" w:pos="8550"/>
        </w:tabs>
        <w:rPr>
          <w:rFonts w:ascii="Arial" w:hAnsi="Arial" w:cs="Arial"/>
          <w:bCs/>
          <w:color w:val="000000" w:themeColor="text1"/>
          <w:sz w:val="22"/>
          <w:szCs w:val="22"/>
        </w:rPr>
      </w:pPr>
    </w:p>
    <w:p w14:paraId="19EDBADD" w14:textId="02BDEACE" w:rsidR="00495A55" w:rsidRDefault="00495A55" w:rsidP="00495A55">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Everything seemed to shoot higher – from COVID-19 cases and vaccinations to economic growth and global stock markets. Everything except for optimism. As the year came to an end, a </w:t>
      </w:r>
      <w:r w:rsidRPr="00764FC3">
        <w:rPr>
          <w:rFonts w:ascii="Arial" w:hAnsi="Arial" w:cs="Arial"/>
          <w:bCs/>
          <w:color w:val="000000" w:themeColor="text1"/>
          <w:sz w:val="22"/>
          <w:szCs w:val="22"/>
        </w:rPr>
        <w:t>CBS News</w:t>
      </w:r>
      <w:r>
        <w:rPr>
          <w:rFonts w:ascii="Arial" w:hAnsi="Arial" w:cs="Arial"/>
          <w:bCs/>
          <w:color w:val="000000" w:themeColor="text1"/>
          <w:sz w:val="22"/>
          <w:szCs w:val="22"/>
        </w:rPr>
        <w:t xml:space="preserve"> poll found that 40 percent of Americans felt 2021 was mostly filled with sadness, although almost three out of four people polled said they were hopeful for 2022.</w:t>
      </w:r>
    </w:p>
    <w:p w14:paraId="5026796A" w14:textId="77777777" w:rsidR="00495A55" w:rsidRDefault="00495A55" w:rsidP="00495A55">
      <w:pPr>
        <w:tabs>
          <w:tab w:val="left" w:pos="8550"/>
        </w:tabs>
        <w:rPr>
          <w:rFonts w:ascii="Arial" w:hAnsi="Arial" w:cs="Arial"/>
          <w:bCs/>
          <w:color w:val="000000" w:themeColor="text1"/>
          <w:sz w:val="22"/>
          <w:szCs w:val="22"/>
        </w:rPr>
      </w:pPr>
    </w:p>
    <w:p w14:paraId="6F0CBC22" w14:textId="77777777" w:rsidR="00495A55" w:rsidRDefault="00495A55" w:rsidP="00495A55">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As we head into the new year, let’s a look back at 2021.</w:t>
      </w:r>
    </w:p>
    <w:p w14:paraId="569A6261" w14:textId="77777777" w:rsidR="00495A55" w:rsidRDefault="00495A55" w:rsidP="00495A55">
      <w:pPr>
        <w:tabs>
          <w:tab w:val="left" w:pos="8550"/>
        </w:tabs>
        <w:rPr>
          <w:rFonts w:ascii="Arial" w:hAnsi="Arial" w:cs="Arial"/>
          <w:bCs/>
          <w:color w:val="000000" w:themeColor="text1"/>
          <w:sz w:val="22"/>
          <w:szCs w:val="22"/>
        </w:rPr>
      </w:pPr>
    </w:p>
    <w:p w14:paraId="7BBD1128" w14:textId="7228BA1C" w:rsidR="00495A55" w:rsidRDefault="00495A55" w:rsidP="00495A55">
      <w:pPr>
        <w:pStyle w:val="ListParagraph"/>
        <w:numPr>
          <w:ilvl w:val="0"/>
          <w:numId w:val="44"/>
        </w:numPr>
        <w:tabs>
          <w:tab w:val="left" w:pos="8550"/>
        </w:tabs>
        <w:rPr>
          <w:rFonts w:ascii="Arial" w:hAnsi="Arial" w:cs="Arial"/>
          <w:bCs/>
          <w:color w:val="000000" w:themeColor="text1"/>
          <w:sz w:val="22"/>
          <w:szCs w:val="22"/>
        </w:rPr>
      </w:pPr>
      <w:r w:rsidRPr="003F01B1">
        <w:rPr>
          <w:rFonts w:ascii="Arial" w:hAnsi="Arial" w:cs="Arial"/>
          <w:b/>
          <w:color w:val="000000" w:themeColor="text1"/>
          <w:sz w:val="22"/>
          <w:szCs w:val="22"/>
        </w:rPr>
        <w:t>Vaccinations took off</w:t>
      </w:r>
      <w:r>
        <w:rPr>
          <w:rFonts w:ascii="Arial" w:hAnsi="Arial" w:cs="Arial"/>
          <w:bCs/>
          <w:color w:val="000000" w:themeColor="text1"/>
          <w:sz w:val="22"/>
          <w:szCs w:val="22"/>
        </w:rPr>
        <w:t>. At the start of the year, very few people were vaccinated against COVID-19. Despite issues with vaccine reluctance and availability, by the end of the year more than 58 percent of the world’s population had received at least one dose of a COVID-19 vaccine.</w:t>
      </w:r>
    </w:p>
    <w:p w14:paraId="1F481748" w14:textId="77777777" w:rsidR="00495A55" w:rsidRDefault="00495A55" w:rsidP="00495A55">
      <w:pPr>
        <w:pStyle w:val="ListParagraph"/>
        <w:tabs>
          <w:tab w:val="left" w:pos="8550"/>
        </w:tabs>
        <w:rPr>
          <w:rFonts w:ascii="Arial" w:hAnsi="Arial" w:cs="Arial"/>
          <w:b/>
          <w:color w:val="000000" w:themeColor="text1"/>
          <w:sz w:val="22"/>
          <w:szCs w:val="22"/>
        </w:rPr>
      </w:pPr>
    </w:p>
    <w:p w14:paraId="2BB1E06D" w14:textId="1F78A8CE" w:rsidR="00495A55" w:rsidRDefault="00495A55" w:rsidP="00495A55">
      <w:pPr>
        <w:pStyle w:val="ListParagraph"/>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United Arab Emirates led the way with 99 percent of the nation’s population vaccinated. Nigeria lagged with about 95 percent of the population unvaccinated. More than 61 percent of Americans were fully vaccinated, and another 12 percent were partially vaccinated, according to </w:t>
      </w:r>
      <w:r w:rsidRPr="000732AC">
        <w:rPr>
          <w:rFonts w:ascii="Arial" w:hAnsi="Arial" w:cs="Arial"/>
          <w:bCs/>
          <w:i/>
          <w:iCs/>
          <w:color w:val="000000" w:themeColor="text1"/>
          <w:sz w:val="22"/>
          <w:szCs w:val="22"/>
        </w:rPr>
        <w:t>Our World in Data</w:t>
      </w:r>
      <w:r>
        <w:rPr>
          <w:rFonts w:ascii="Arial" w:hAnsi="Arial" w:cs="Arial"/>
          <w:bCs/>
          <w:color w:val="000000" w:themeColor="text1"/>
          <w:sz w:val="22"/>
          <w:szCs w:val="22"/>
        </w:rPr>
        <w:t>.</w:t>
      </w:r>
    </w:p>
    <w:p w14:paraId="61FB8312" w14:textId="77777777" w:rsidR="00495A55" w:rsidRPr="003F01B1" w:rsidRDefault="00495A55" w:rsidP="00495A55">
      <w:pPr>
        <w:pStyle w:val="ListParagraph"/>
        <w:tabs>
          <w:tab w:val="left" w:pos="8550"/>
        </w:tabs>
        <w:rPr>
          <w:rFonts w:ascii="Arial" w:hAnsi="Arial" w:cs="Arial"/>
          <w:bCs/>
          <w:color w:val="000000" w:themeColor="text1"/>
          <w:sz w:val="22"/>
          <w:szCs w:val="22"/>
        </w:rPr>
      </w:pPr>
    </w:p>
    <w:p w14:paraId="08E042B4" w14:textId="58A730E5" w:rsidR="00495A55" w:rsidRPr="00FB6676" w:rsidRDefault="00495A55" w:rsidP="00495A55">
      <w:pPr>
        <w:pStyle w:val="ListParagraph"/>
        <w:numPr>
          <w:ilvl w:val="0"/>
          <w:numId w:val="44"/>
        </w:numPr>
        <w:tabs>
          <w:tab w:val="left" w:pos="8550"/>
        </w:tabs>
        <w:rPr>
          <w:rFonts w:ascii="Arial" w:hAnsi="Arial" w:cs="Arial"/>
          <w:bCs/>
          <w:color w:val="000000" w:themeColor="text1"/>
          <w:sz w:val="22"/>
          <w:szCs w:val="22"/>
        </w:rPr>
      </w:pPr>
      <w:r w:rsidRPr="00C01451">
        <w:rPr>
          <w:rFonts w:ascii="Arial" w:hAnsi="Arial" w:cs="Arial"/>
          <w:b/>
          <w:color w:val="000000" w:themeColor="text1"/>
          <w:sz w:val="22"/>
          <w:szCs w:val="22"/>
        </w:rPr>
        <w:t>United States</w:t>
      </w:r>
      <w:r>
        <w:rPr>
          <w:rFonts w:ascii="Arial" w:hAnsi="Arial" w:cs="Arial"/>
          <w:b/>
          <w:color w:val="000000" w:themeColor="text1"/>
          <w:sz w:val="22"/>
          <w:szCs w:val="22"/>
        </w:rPr>
        <w:t>’</w:t>
      </w:r>
      <w:r w:rsidRPr="00C01451">
        <w:rPr>
          <w:rFonts w:ascii="Arial" w:hAnsi="Arial" w:cs="Arial"/>
          <w:b/>
          <w:color w:val="000000" w:themeColor="text1"/>
          <w:sz w:val="22"/>
          <w:szCs w:val="22"/>
        </w:rPr>
        <w:t xml:space="preserve"> </w:t>
      </w:r>
      <w:r>
        <w:rPr>
          <w:rFonts w:ascii="Arial" w:hAnsi="Arial" w:cs="Arial"/>
          <w:b/>
          <w:color w:val="000000" w:themeColor="text1"/>
          <w:sz w:val="22"/>
          <w:szCs w:val="22"/>
        </w:rPr>
        <w:t>e</w:t>
      </w:r>
      <w:r w:rsidRPr="00B70444">
        <w:rPr>
          <w:rFonts w:ascii="Arial" w:hAnsi="Arial" w:cs="Arial"/>
          <w:b/>
          <w:color w:val="000000" w:themeColor="text1"/>
          <w:sz w:val="22"/>
          <w:szCs w:val="22"/>
        </w:rPr>
        <w:t>conomic growth was stronger than it has been in decade</w:t>
      </w:r>
      <w:r>
        <w:rPr>
          <w:rFonts w:ascii="Arial" w:hAnsi="Arial" w:cs="Arial"/>
          <w:b/>
          <w:color w:val="000000" w:themeColor="text1"/>
          <w:sz w:val="22"/>
          <w:szCs w:val="22"/>
        </w:rPr>
        <w:t>s.</w:t>
      </w:r>
      <w:r w:rsidRPr="009235DB">
        <w:rPr>
          <w:rFonts w:ascii="Arial" w:hAnsi="Arial" w:cs="Arial"/>
          <w:bCs/>
          <w:color w:val="000000" w:themeColor="text1"/>
          <w:sz w:val="22"/>
          <w:szCs w:val="22"/>
        </w:rPr>
        <w:t xml:space="preserve"> </w:t>
      </w:r>
      <w:r>
        <w:rPr>
          <w:rFonts w:ascii="Arial" w:hAnsi="Arial" w:cs="Arial"/>
          <w:bCs/>
          <w:color w:val="000000" w:themeColor="text1"/>
          <w:sz w:val="22"/>
          <w:szCs w:val="22"/>
        </w:rPr>
        <w:t xml:space="preserve">In December, </w:t>
      </w:r>
      <w:r w:rsidRPr="00764FC3">
        <w:rPr>
          <w:rFonts w:ascii="Arial" w:hAnsi="Arial" w:cs="Arial"/>
          <w:bCs/>
          <w:color w:val="000000" w:themeColor="text1"/>
          <w:sz w:val="22"/>
          <w:szCs w:val="22"/>
        </w:rPr>
        <w:t>The Conference Board</w:t>
      </w:r>
      <w:r>
        <w:rPr>
          <w:rFonts w:ascii="Arial" w:hAnsi="Arial" w:cs="Arial"/>
          <w:bCs/>
          <w:color w:val="000000" w:themeColor="text1"/>
          <w:sz w:val="22"/>
          <w:szCs w:val="22"/>
        </w:rPr>
        <w:t xml:space="preserve"> estimated the U.S. economy grew by 6.5 percent annualized</w:t>
      </w:r>
      <w:r w:rsidRPr="00C01451">
        <w:rPr>
          <w:rFonts w:ascii="Arial" w:hAnsi="Arial" w:cs="Arial"/>
          <w:bCs/>
          <w:color w:val="000000" w:themeColor="text1"/>
          <w:sz w:val="22"/>
          <w:szCs w:val="22"/>
        </w:rPr>
        <w:t xml:space="preserve"> </w:t>
      </w:r>
      <w:r>
        <w:rPr>
          <w:rFonts w:ascii="Arial" w:hAnsi="Arial" w:cs="Arial"/>
          <w:bCs/>
          <w:color w:val="000000" w:themeColor="text1"/>
          <w:sz w:val="22"/>
          <w:szCs w:val="22"/>
        </w:rPr>
        <w:t xml:space="preserve">in the fourth quarter of 2021, and 5.6 percent over the full year. </w:t>
      </w:r>
      <w:r w:rsidRPr="00FB6676">
        <w:rPr>
          <w:rFonts w:ascii="Arial" w:hAnsi="Arial" w:cs="Arial"/>
          <w:bCs/>
          <w:color w:val="000000" w:themeColor="text1"/>
          <w:sz w:val="22"/>
          <w:szCs w:val="22"/>
        </w:rPr>
        <w:t xml:space="preserve">That’s the strongest growth in decades, according to Ben Levisohn of </w:t>
      </w:r>
      <w:r w:rsidRPr="00FB6676">
        <w:rPr>
          <w:rFonts w:ascii="Arial" w:hAnsi="Arial" w:cs="Arial"/>
          <w:bCs/>
          <w:i/>
          <w:iCs/>
          <w:color w:val="000000" w:themeColor="text1"/>
          <w:sz w:val="22"/>
          <w:szCs w:val="22"/>
        </w:rPr>
        <w:t>Barron’s</w:t>
      </w:r>
      <w:r w:rsidRPr="00FB6676">
        <w:rPr>
          <w:rFonts w:ascii="Arial" w:hAnsi="Arial" w:cs="Arial"/>
          <w:bCs/>
          <w:color w:val="000000" w:themeColor="text1"/>
          <w:sz w:val="22"/>
          <w:szCs w:val="22"/>
        </w:rPr>
        <w:t>. The publication reported the lesson of the last century is, “Don’t underestimate the resilience of the U.S. economy</w:t>
      </w:r>
      <w:r>
        <w:rPr>
          <w:rFonts w:ascii="Arial" w:hAnsi="Arial" w:cs="Arial"/>
          <w:bCs/>
          <w:color w:val="000000" w:themeColor="text1"/>
          <w:sz w:val="22"/>
          <w:szCs w:val="22"/>
        </w:rPr>
        <w:t>.</w:t>
      </w:r>
      <w:r w:rsidRPr="00FB6676">
        <w:rPr>
          <w:rFonts w:ascii="Arial" w:hAnsi="Arial" w:cs="Arial"/>
          <w:bCs/>
          <w:color w:val="000000" w:themeColor="text1"/>
          <w:sz w:val="22"/>
          <w:szCs w:val="22"/>
        </w:rPr>
        <w:t>”</w:t>
      </w:r>
    </w:p>
    <w:p w14:paraId="1E6B9BDB" w14:textId="77777777" w:rsidR="00495A55" w:rsidRDefault="00495A55" w:rsidP="00495A55">
      <w:pPr>
        <w:pStyle w:val="ListParagraph"/>
        <w:tabs>
          <w:tab w:val="left" w:pos="8550"/>
        </w:tabs>
        <w:rPr>
          <w:rFonts w:ascii="Arial" w:hAnsi="Arial" w:cs="Arial"/>
          <w:bCs/>
          <w:color w:val="000000" w:themeColor="text1"/>
          <w:sz w:val="22"/>
          <w:szCs w:val="22"/>
        </w:rPr>
      </w:pPr>
    </w:p>
    <w:p w14:paraId="2146D755" w14:textId="5A6121EF" w:rsidR="00495A55" w:rsidRPr="006066F8" w:rsidRDefault="00495A55" w:rsidP="00495A55">
      <w:pPr>
        <w:pStyle w:val="ListParagraph"/>
        <w:numPr>
          <w:ilvl w:val="0"/>
          <w:numId w:val="44"/>
        </w:numPr>
        <w:tabs>
          <w:tab w:val="left" w:pos="8550"/>
        </w:tabs>
        <w:rPr>
          <w:rFonts w:ascii="Arial" w:hAnsi="Arial" w:cs="Arial"/>
          <w:bCs/>
          <w:color w:val="000000" w:themeColor="text1"/>
          <w:sz w:val="22"/>
          <w:szCs w:val="22"/>
        </w:rPr>
      </w:pPr>
      <w:r w:rsidRPr="00480EA1">
        <w:rPr>
          <w:rFonts w:ascii="Arial" w:hAnsi="Arial" w:cs="Arial"/>
          <w:b/>
          <w:color w:val="000000" w:themeColor="text1"/>
          <w:sz w:val="22"/>
          <w:szCs w:val="22"/>
        </w:rPr>
        <w:t>Inflation rose faster than it has in decades.</w:t>
      </w:r>
      <w:r w:rsidRPr="00480EA1">
        <w:rPr>
          <w:rFonts w:ascii="Arial" w:hAnsi="Arial" w:cs="Arial"/>
          <w:bCs/>
          <w:color w:val="000000" w:themeColor="text1"/>
          <w:sz w:val="22"/>
          <w:szCs w:val="22"/>
        </w:rPr>
        <w:t xml:space="preserve"> Consumer prices increased at the fastest pace since 1982. By December, prices were up almost 7 percent for the year in the U.S., according to </w:t>
      </w:r>
      <w:r w:rsidRPr="00480EA1">
        <w:rPr>
          <w:rFonts w:ascii="Arial" w:hAnsi="Arial" w:cs="Arial"/>
          <w:bCs/>
          <w:i/>
          <w:iCs/>
          <w:color w:val="000000" w:themeColor="text1"/>
          <w:sz w:val="22"/>
          <w:szCs w:val="22"/>
        </w:rPr>
        <w:t>The Economist</w:t>
      </w:r>
      <w:r w:rsidRPr="00480EA1">
        <w:rPr>
          <w:rFonts w:ascii="Arial" w:hAnsi="Arial" w:cs="Arial"/>
          <w:bCs/>
          <w:color w:val="000000" w:themeColor="text1"/>
          <w:sz w:val="22"/>
          <w:szCs w:val="22"/>
        </w:rPr>
        <w:t>.</w:t>
      </w:r>
      <w:r w:rsidR="00E935DA">
        <w:rPr>
          <w:rStyle w:val="EndnoteReference"/>
          <w:rFonts w:ascii="Arial" w:hAnsi="Arial" w:cs="Arial"/>
          <w:sz w:val="22"/>
          <w:szCs w:val="22"/>
        </w:rPr>
        <w:t xml:space="preserve"> </w:t>
      </w:r>
      <w:r>
        <w:rPr>
          <w:rFonts w:ascii="Arial" w:hAnsi="Arial" w:cs="Arial"/>
          <w:bCs/>
          <w:color w:val="000000" w:themeColor="text1"/>
          <w:sz w:val="22"/>
          <w:szCs w:val="22"/>
        </w:rPr>
        <w:t>A</w:t>
      </w:r>
      <w:r w:rsidRPr="00480EA1">
        <w:rPr>
          <w:rFonts w:ascii="Arial" w:hAnsi="Arial" w:cs="Arial"/>
          <w:bCs/>
          <w:color w:val="000000" w:themeColor="text1"/>
          <w:sz w:val="22"/>
          <w:szCs w:val="22"/>
        </w:rPr>
        <w:t xml:space="preserve">s rents and wages increased, the Federal Reserve </w:t>
      </w:r>
      <w:r>
        <w:rPr>
          <w:rFonts w:ascii="Arial" w:hAnsi="Arial" w:cs="Arial"/>
          <w:bCs/>
          <w:color w:val="000000" w:themeColor="text1"/>
          <w:sz w:val="22"/>
          <w:szCs w:val="22"/>
        </w:rPr>
        <w:t>changed the language it used when discussing inflation, removing the word “transitory.”</w:t>
      </w:r>
      <w:r>
        <w:rPr>
          <w:rStyle w:val="EndnoteReference"/>
          <w:rFonts w:ascii="Arial" w:hAnsi="Arial" w:cs="Arial"/>
          <w:sz w:val="22"/>
          <w:szCs w:val="22"/>
        </w:rPr>
        <w:t xml:space="preserve"> </w:t>
      </w:r>
      <w:r>
        <w:rPr>
          <w:rFonts w:ascii="Arial" w:hAnsi="Arial" w:cs="Arial"/>
          <w:bCs/>
          <w:color w:val="000000" w:themeColor="text1"/>
          <w:sz w:val="22"/>
          <w:szCs w:val="22"/>
        </w:rPr>
        <w:t xml:space="preserve">Some economists say inflation will subside in 2022, while others believe it will be more enduring, according to a report from </w:t>
      </w:r>
      <w:r w:rsidRPr="005F288B">
        <w:rPr>
          <w:rFonts w:ascii="Arial" w:hAnsi="Arial" w:cs="Arial"/>
          <w:bCs/>
          <w:color w:val="000000" w:themeColor="text1"/>
          <w:sz w:val="22"/>
          <w:szCs w:val="22"/>
        </w:rPr>
        <w:t>Goldman Sachs</w:t>
      </w:r>
      <w:r>
        <w:rPr>
          <w:rFonts w:ascii="Arial" w:hAnsi="Arial" w:cs="Arial"/>
          <w:bCs/>
          <w:color w:val="000000" w:themeColor="text1"/>
          <w:sz w:val="22"/>
          <w:szCs w:val="22"/>
        </w:rPr>
        <w:t>.</w:t>
      </w:r>
    </w:p>
    <w:p w14:paraId="35BFA941" w14:textId="77777777" w:rsidR="00495A55" w:rsidRPr="006066F8" w:rsidRDefault="00495A55" w:rsidP="00495A55">
      <w:pPr>
        <w:rPr>
          <w:rFonts w:ascii="Arial" w:hAnsi="Arial" w:cs="Arial"/>
          <w:bCs/>
          <w:color w:val="000000" w:themeColor="text1"/>
          <w:sz w:val="22"/>
          <w:szCs w:val="22"/>
        </w:rPr>
      </w:pPr>
    </w:p>
    <w:p w14:paraId="14CCE022" w14:textId="00BE2A47" w:rsidR="00495A55" w:rsidRDefault="00495A55" w:rsidP="00495A55">
      <w:pPr>
        <w:pStyle w:val="ListParagraph"/>
        <w:numPr>
          <w:ilvl w:val="0"/>
          <w:numId w:val="44"/>
        </w:numPr>
        <w:tabs>
          <w:tab w:val="left" w:pos="8550"/>
        </w:tabs>
        <w:rPr>
          <w:rFonts w:ascii="Arial" w:hAnsi="Arial" w:cs="Arial"/>
          <w:bCs/>
          <w:color w:val="000000" w:themeColor="text1"/>
          <w:sz w:val="22"/>
          <w:szCs w:val="22"/>
        </w:rPr>
      </w:pPr>
      <w:r w:rsidRPr="008922C8">
        <w:rPr>
          <w:rFonts w:ascii="Arial" w:hAnsi="Arial" w:cs="Arial"/>
          <w:b/>
          <w:color w:val="000000" w:themeColor="text1"/>
          <w:sz w:val="22"/>
          <w:szCs w:val="22"/>
        </w:rPr>
        <w:t xml:space="preserve">Consumer sentiment </w:t>
      </w:r>
      <w:r>
        <w:rPr>
          <w:rFonts w:ascii="Arial" w:hAnsi="Arial" w:cs="Arial"/>
          <w:b/>
          <w:color w:val="000000" w:themeColor="text1"/>
          <w:sz w:val="22"/>
          <w:szCs w:val="22"/>
        </w:rPr>
        <w:t>declined and then rose</w:t>
      </w:r>
      <w:r w:rsidRPr="008922C8">
        <w:rPr>
          <w:rFonts w:ascii="Arial" w:hAnsi="Arial" w:cs="Arial"/>
          <w:b/>
          <w:color w:val="000000" w:themeColor="text1"/>
          <w:sz w:val="22"/>
          <w:szCs w:val="22"/>
        </w:rPr>
        <w:t xml:space="preserve"> in December</w:t>
      </w:r>
      <w:r>
        <w:rPr>
          <w:rFonts w:ascii="Arial" w:hAnsi="Arial" w:cs="Arial"/>
          <w:bCs/>
          <w:color w:val="000000" w:themeColor="text1"/>
          <w:sz w:val="22"/>
          <w:szCs w:val="22"/>
        </w:rPr>
        <w:t>. Overall, consumers were less optimistic during 2021, largely because of inflation. About 25 percent of households said inflation was eroding their standard of living.</w:t>
      </w:r>
    </w:p>
    <w:p w14:paraId="12BF30B3" w14:textId="77777777" w:rsidR="00495A55" w:rsidRPr="008922C8" w:rsidRDefault="00495A55" w:rsidP="00495A55">
      <w:pPr>
        <w:pStyle w:val="ListParagraph"/>
        <w:rPr>
          <w:rFonts w:ascii="Arial" w:hAnsi="Arial" w:cs="Arial"/>
          <w:bCs/>
          <w:color w:val="000000" w:themeColor="text1"/>
          <w:sz w:val="22"/>
          <w:szCs w:val="22"/>
        </w:rPr>
      </w:pPr>
    </w:p>
    <w:p w14:paraId="4BBC0D48" w14:textId="1A689513" w:rsidR="00495A55" w:rsidRPr="000A451A" w:rsidRDefault="00495A55" w:rsidP="00495A55">
      <w:pPr>
        <w:pStyle w:val="ListParagraph"/>
        <w:tabs>
          <w:tab w:val="left" w:pos="8550"/>
        </w:tabs>
        <w:rPr>
          <w:rFonts w:ascii="Arial" w:hAnsi="Arial" w:cs="Arial"/>
          <w:bCs/>
          <w:color w:val="000000" w:themeColor="text1"/>
          <w:sz w:val="22"/>
          <w:szCs w:val="22"/>
          <w:vertAlign w:val="superscript"/>
        </w:rPr>
      </w:pPr>
      <w:r>
        <w:rPr>
          <w:rFonts w:ascii="Arial" w:hAnsi="Arial" w:cs="Arial"/>
          <w:bCs/>
          <w:color w:val="000000" w:themeColor="text1"/>
          <w:sz w:val="22"/>
          <w:szCs w:val="22"/>
        </w:rPr>
        <w:t>In December, however, optimism moved sharply higher “…</w:t>
      </w:r>
      <w:r w:rsidRPr="008922C8">
        <w:rPr>
          <w:rFonts w:ascii="Arial" w:hAnsi="Arial" w:cs="Arial"/>
          <w:bCs/>
          <w:color w:val="000000" w:themeColor="text1"/>
          <w:sz w:val="22"/>
          <w:szCs w:val="22"/>
        </w:rPr>
        <w:t>primarily due to significant gains among households with incomes in the bottom third of the distribution. Indeed, the bottom third expected their incomes to rise during the year ahead by 2.8%, up from 1.8% last December</w:t>
      </w:r>
      <w:r>
        <w:rPr>
          <w:rFonts w:ascii="Arial" w:hAnsi="Arial" w:cs="Arial"/>
          <w:bCs/>
          <w:color w:val="000000" w:themeColor="text1"/>
          <w:sz w:val="22"/>
          <w:szCs w:val="22"/>
        </w:rPr>
        <w:t xml:space="preserve">,” reported Richard Curtin, the </w:t>
      </w:r>
      <w:r w:rsidRPr="005F288B">
        <w:rPr>
          <w:rFonts w:ascii="Arial" w:hAnsi="Arial" w:cs="Arial"/>
          <w:bCs/>
          <w:color w:val="000000" w:themeColor="text1"/>
          <w:sz w:val="22"/>
          <w:szCs w:val="22"/>
        </w:rPr>
        <w:t>University of Michigan’s Surveys of Consumers</w:t>
      </w:r>
      <w:r w:rsidRPr="008922C8">
        <w:rPr>
          <w:rFonts w:ascii="Arial" w:hAnsi="Arial" w:cs="Arial"/>
          <w:bCs/>
          <w:color w:val="000000" w:themeColor="text1"/>
          <w:sz w:val="22"/>
          <w:szCs w:val="22"/>
        </w:rPr>
        <w:t xml:space="preserve"> chief economist</w:t>
      </w:r>
      <w:r>
        <w:rPr>
          <w:rFonts w:ascii="Arial" w:hAnsi="Arial" w:cs="Arial"/>
          <w:bCs/>
          <w:color w:val="000000" w:themeColor="text1"/>
          <w:sz w:val="22"/>
          <w:szCs w:val="22"/>
        </w:rPr>
        <w:t>. That’s the biggest gain in 22 years.</w:t>
      </w:r>
    </w:p>
    <w:p w14:paraId="08565D39" w14:textId="77777777" w:rsidR="00495A55" w:rsidRPr="008922C8" w:rsidRDefault="00495A55" w:rsidP="00495A55">
      <w:pPr>
        <w:pStyle w:val="ListParagraph"/>
        <w:rPr>
          <w:rFonts w:ascii="Arial" w:hAnsi="Arial" w:cs="Arial"/>
          <w:b/>
          <w:color w:val="000000" w:themeColor="text1"/>
          <w:sz w:val="22"/>
          <w:szCs w:val="22"/>
        </w:rPr>
      </w:pPr>
    </w:p>
    <w:p w14:paraId="744313EB" w14:textId="5F30B6AC" w:rsidR="00495A55" w:rsidRPr="00423A2C" w:rsidRDefault="00495A55" w:rsidP="00495A55">
      <w:pPr>
        <w:pStyle w:val="ListParagraph"/>
        <w:numPr>
          <w:ilvl w:val="0"/>
          <w:numId w:val="44"/>
        </w:numPr>
        <w:tabs>
          <w:tab w:val="left" w:pos="8550"/>
        </w:tabs>
        <w:rPr>
          <w:rFonts w:ascii="Arial" w:hAnsi="Arial" w:cs="Arial"/>
          <w:bCs/>
          <w:color w:val="000000" w:themeColor="text1"/>
          <w:sz w:val="22"/>
          <w:szCs w:val="22"/>
        </w:rPr>
      </w:pPr>
      <w:r w:rsidRPr="00793F64">
        <w:rPr>
          <w:rFonts w:ascii="Arial" w:hAnsi="Arial" w:cs="Arial"/>
          <w:b/>
          <w:color w:val="000000" w:themeColor="text1"/>
          <w:sz w:val="22"/>
          <w:szCs w:val="22"/>
        </w:rPr>
        <w:lastRenderedPageBreak/>
        <w:t>The Federal Reserve took a hawkish turn</w:t>
      </w:r>
      <w:r>
        <w:rPr>
          <w:rFonts w:ascii="Arial" w:hAnsi="Arial" w:cs="Arial"/>
          <w:bCs/>
          <w:color w:val="000000" w:themeColor="text1"/>
          <w:sz w:val="22"/>
          <w:szCs w:val="22"/>
        </w:rPr>
        <w:t xml:space="preserve">. As inflation persisted, the Fed decided to accelerate monetary policy tightening by tapering bond purchases more quickly than expected. In December, 12 of the 18 </w:t>
      </w:r>
      <w:r w:rsidRPr="005F288B">
        <w:rPr>
          <w:rFonts w:ascii="Arial" w:hAnsi="Arial" w:cs="Arial"/>
          <w:bCs/>
          <w:color w:val="000000" w:themeColor="text1"/>
          <w:sz w:val="22"/>
          <w:szCs w:val="22"/>
        </w:rPr>
        <w:t>Federal Open Market Committee</w:t>
      </w:r>
      <w:r>
        <w:rPr>
          <w:rFonts w:ascii="Arial" w:hAnsi="Arial" w:cs="Arial"/>
          <w:bCs/>
          <w:color w:val="000000" w:themeColor="text1"/>
          <w:sz w:val="22"/>
          <w:szCs w:val="22"/>
        </w:rPr>
        <w:t xml:space="preserve"> members indicated they anticipate at least three rate hikes in 2022. The increases would lift the Fed funds rate from zero to 0.25 percent to 0.75 to 1.0 percent.</w:t>
      </w:r>
    </w:p>
    <w:p w14:paraId="4C6011C3" w14:textId="77777777" w:rsidR="00495A55" w:rsidRPr="00B70444" w:rsidRDefault="00495A55" w:rsidP="00495A55">
      <w:pPr>
        <w:pStyle w:val="ListParagraph"/>
        <w:tabs>
          <w:tab w:val="left" w:pos="8550"/>
        </w:tabs>
        <w:rPr>
          <w:rFonts w:ascii="Arial" w:hAnsi="Arial" w:cs="Arial"/>
          <w:bCs/>
          <w:color w:val="000000" w:themeColor="text1"/>
          <w:sz w:val="22"/>
          <w:szCs w:val="22"/>
        </w:rPr>
      </w:pPr>
    </w:p>
    <w:p w14:paraId="1C963531" w14:textId="348F0485" w:rsidR="00495A55" w:rsidRPr="00F71CAD" w:rsidRDefault="00495A55" w:rsidP="00495A55">
      <w:pPr>
        <w:pStyle w:val="ListParagraph"/>
        <w:numPr>
          <w:ilvl w:val="0"/>
          <w:numId w:val="44"/>
        </w:numPr>
        <w:tabs>
          <w:tab w:val="left" w:pos="8550"/>
        </w:tabs>
        <w:rPr>
          <w:rFonts w:ascii="Arial" w:hAnsi="Arial" w:cs="Arial"/>
          <w:bCs/>
          <w:color w:val="000000" w:themeColor="text1"/>
          <w:sz w:val="22"/>
          <w:szCs w:val="22"/>
        </w:rPr>
      </w:pPr>
      <w:r w:rsidRPr="00197CF8">
        <w:rPr>
          <w:rFonts w:ascii="Arial" w:hAnsi="Arial" w:cs="Arial"/>
          <w:b/>
          <w:color w:val="000000" w:themeColor="text1"/>
          <w:sz w:val="22"/>
          <w:szCs w:val="22"/>
        </w:rPr>
        <w:t>Major U.S. stock indices set record after record</w:t>
      </w:r>
      <w:r w:rsidRPr="00197CF8">
        <w:rPr>
          <w:rFonts w:ascii="Arial" w:hAnsi="Arial" w:cs="Arial"/>
          <w:bCs/>
          <w:color w:val="000000" w:themeColor="text1"/>
          <w:sz w:val="22"/>
          <w:szCs w:val="22"/>
        </w:rPr>
        <w:t>. After</w:t>
      </w:r>
      <w:r>
        <w:rPr>
          <w:rFonts w:ascii="Arial" w:hAnsi="Arial" w:cs="Arial"/>
          <w:bCs/>
          <w:color w:val="000000" w:themeColor="text1"/>
          <w:sz w:val="22"/>
          <w:szCs w:val="22"/>
        </w:rPr>
        <w:t xml:space="preserve"> trading closed on December 31, 2021, “</w:t>
      </w:r>
      <w:r w:rsidRPr="00197CF8">
        <w:rPr>
          <w:rFonts w:ascii="Arial" w:hAnsi="Arial" w:cs="Arial"/>
          <w:bCs/>
          <w:color w:val="000000" w:themeColor="text1"/>
          <w:sz w:val="22"/>
          <w:szCs w:val="22"/>
        </w:rPr>
        <w:t>All three major U.S. stock indexes scored monthly, quarterly and annual gains, notching their biggest three-year advance since 1999</w:t>
      </w:r>
      <w:r>
        <w:rPr>
          <w:rFonts w:ascii="Arial" w:hAnsi="Arial" w:cs="Arial"/>
          <w:bCs/>
          <w:color w:val="000000" w:themeColor="text1"/>
          <w:sz w:val="22"/>
          <w:szCs w:val="22"/>
        </w:rPr>
        <w:t>,” reported</w:t>
      </w:r>
      <w:r w:rsidRPr="00F71CAD">
        <w:rPr>
          <w:rFonts w:ascii="Arial" w:hAnsi="Arial" w:cs="Arial"/>
          <w:bCs/>
          <w:color w:val="000000" w:themeColor="text1"/>
          <w:sz w:val="22"/>
          <w:szCs w:val="22"/>
        </w:rPr>
        <w:t xml:space="preserve"> </w:t>
      </w:r>
      <w:r w:rsidRPr="00197CF8">
        <w:rPr>
          <w:rFonts w:ascii="Arial" w:hAnsi="Arial" w:cs="Arial"/>
          <w:bCs/>
          <w:color w:val="000000" w:themeColor="text1"/>
          <w:sz w:val="22"/>
          <w:szCs w:val="22"/>
        </w:rPr>
        <w:t>Stephen Culp and Echo Wang</w:t>
      </w:r>
      <w:r>
        <w:rPr>
          <w:rFonts w:ascii="Arial" w:hAnsi="Arial" w:cs="Arial"/>
          <w:bCs/>
          <w:color w:val="000000" w:themeColor="text1"/>
          <w:sz w:val="22"/>
          <w:szCs w:val="22"/>
        </w:rPr>
        <w:t xml:space="preserve"> of </w:t>
      </w:r>
      <w:r w:rsidRPr="00197CF8">
        <w:rPr>
          <w:rFonts w:ascii="Arial" w:hAnsi="Arial" w:cs="Arial"/>
          <w:bCs/>
          <w:i/>
          <w:iCs/>
          <w:color w:val="000000" w:themeColor="text1"/>
          <w:sz w:val="22"/>
          <w:szCs w:val="22"/>
        </w:rPr>
        <w:t>Reuters</w:t>
      </w:r>
      <w:r>
        <w:rPr>
          <w:rFonts w:ascii="Arial" w:hAnsi="Arial" w:cs="Arial"/>
          <w:bCs/>
          <w:color w:val="000000" w:themeColor="text1"/>
          <w:sz w:val="22"/>
          <w:szCs w:val="22"/>
        </w:rPr>
        <w:t>.</w:t>
      </w:r>
    </w:p>
    <w:p w14:paraId="498359FD" w14:textId="77777777" w:rsidR="00495A55" w:rsidRDefault="00495A55" w:rsidP="00495A55">
      <w:pPr>
        <w:pStyle w:val="ListParagraph"/>
        <w:tabs>
          <w:tab w:val="left" w:pos="8550"/>
        </w:tabs>
        <w:rPr>
          <w:rFonts w:ascii="Arial" w:hAnsi="Arial" w:cs="Arial"/>
          <w:bCs/>
          <w:color w:val="000000" w:themeColor="text1"/>
          <w:sz w:val="22"/>
          <w:szCs w:val="22"/>
        </w:rPr>
      </w:pPr>
    </w:p>
    <w:p w14:paraId="4F2019CC" w14:textId="67B5536E" w:rsidR="00495A55" w:rsidRDefault="00495A55" w:rsidP="00495A55">
      <w:pPr>
        <w:pStyle w:val="ListParagraph"/>
        <w:numPr>
          <w:ilvl w:val="0"/>
          <w:numId w:val="44"/>
        </w:numPr>
        <w:tabs>
          <w:tab w:val="left" w:pos="8550"/>
        </w:tabs>
        <w:rPr>
          <w:rFonts w:ascii="Arial" w:hAnsi="Arial" w:cs="Arial"/>
          <w:bCs/>
          <w:color w:val="000000" w:themeColor="text1"/>
          <w:sz w:val="22"/>
          <w:szCs w:val="22"/>
        </w:rPr>
      </w:pPr>
      <w:r w:rsidRPr="00851608">
        <w:rPr>
          <w:rFonts w:ascii="Arial" w:hAnsi="Arial" w:cs="Arial"/>
          <w:b/>
          <w:color w:val="000000" w:themeColor="text1"/>
          <w:sz w:val="22"/>
          <w:szCs w:val="22"/>
        </w:rPr>
        <w:t>Corporate earnings proved resilient</w:t>
      </w:r>
      <w:r>
        <w:rPr>
          <w:rFonts w:ascii="Arial" w:hAnsi="Arial" w:cs="Arial"/>
          <w:bCs/>
          <w:color w:val="000000" w:themeColor="text1"/>
          <w:sz w:val="22"/>
          <w:szCs w:val="22"/>
        </w:rPr>
        <w:t>. Despite supply chain issues, labor shortages, wage increases and inflation, U.S. company earnings were exceptional. Earnings, which reflect company profits, were up 45.1 percent year-over-year. T</w:t>
      </w:r>
      <w:r w:rsidRPr="00B30D5A">
        <w:rPr>
          <w:rFonts w:ascii="Arial" w:hAnsi="Arial" w:cs="Arial"/>
          <w:bCs/>
          <w:color w:val="000000" w:themeColor="text1"/>
          <w:sz w:val="22"/>
          <w:szCs w:val="22"/>
        </w:rPr>
        <w:t>h</w:t>
      </w:r>
      <w:r>
        <w:rPr>
          <w:rFonts w:ascii="Arial" w:hAnsi="Arial" w:cs="Arial"/>
          <w:bCs/>
          <w:color w:val="000000" w:themeColor="text1"/>
          <w:sz w:val="22"/>
          <w:szCs w:val="22"/>
        </w:rPr>
        <w:t>at’s well above th</w:t>
      </w:r>
      <w:r w:rsidRPr="00B30D5A">
        <w:rPr>
          <w:rFonts w:ascii="Arial" w:hAnsi="Arial" w:cs="Arial"/>
          <w:bCs/>
          <w:color w:val="000000" w:themeColor="text1"/>
          <w:sz w:val="22"/>
          <w:szCs w:val="22"/>
        </w:rPr>
        <w:t xml:space="preserve">e trailing 10-year average annual earnings growth rate </w:t>
      </w:r>
      <w:r>
        <w:rPr>
          <w:rFonts w:ascii="Arial" w:hAnsi="Arial" w:cs="Arial"/>
          <w:bCs/>
          <w:color w:val="000000" w:themeColor="text1"/>
          <w:sz w:val="22"/>
          <w:szCs w:val="22"/>
        </w:rPr>
        <w:t>of</w:t>
      </w:r>
      <w:r w:rsidRPr="00B30D5A">
        <w:rPr>
          <w:rFonts w:ascii="Arial" w:hAnsi="Arial" w:cs="Arial"/>
          <w:bCs/>
          <w:color w:val="000000" w:themeColor="text1"/>
          <w:sz w:val="22"/>
          <w:szCs w:val="22"/>
        </w:rPr>
        <w:t xml:space="preserve"> 5.0</w:t>
      </w:r>
      <w:r>
        <w:rPr>
          <w:rFonts w:ascii="Arial" w:hAnsi="Arial" w:cs="Arial"/>
          <w:bCs/>
          <w:color w:val="000000" w:themeColor="text1"/>
          <w:sz w:val="22"/>
          <w:szCs w:val="22"/>
        </w:rPr>
        <w:t xml:space="preserve"> percent, according to John Butters of </w:t>
      </w:r>
      <w:r w:rsidRPr="00B30D5A">
        <w:rPr>
          <w:rFonts w:ascii="Arial" w:hAnsi="Arial" w:cs="Arial"/>
          <w:bCs/>
          <w:i/>
          <w:iCs/>
          <w:color w:val="000000" w:themeColor="text1"/>
          <w:sz w:val="22"/>
          <w:szCs w:val="22"/>
        </w:rPr>
        <w:t>FactSet</w:t>
      </w:r>
      <w:r>
        <w:rPr>
          <w:rFonts w:ascii="Arial" w:hAnsi="Arial" w:cs="Arial"/>
          <w:bCs/>
          <w:color w:val="000000" w:themeColor="text1"/>
          <w:sz w:val="22"/>
          <w:szCs w:val="22"/>
        </w:rPr>
        <w:t>.</w:t>
      </w:r>
    </w:p>
    <w:p w14:paraId="1D8A8D9D" w14:textId="77777777" w:rsidR="00495A55" w:rsidRDefault="00495A55" w:rsidP="00495A55">
      <w:pPr>
        <w:pStyle w:val="ListParagraph"/>
        <w:tabs>
          <w:tab w:val="left" w:pos="8550"/>
        </w:tabs>
        <w:rPr>
          <w:rFonts w:ascii="Arial" w:hAnsi="Arial" w:cs="Arial"/>
          <w:bCs/>
          <w:color w:val="000000" w:themeColor="text1"/>
          <w:sz w:val="22"/>
          <w:szCs w:val="22"/>
        </w:rPr>
      </w:pPr>
    </w:p>
    <w:p w14:paraId="67678617" w14:textId="7C521EB9" w:rsidR="00495A55" w:rsidRPr="00710717" w:rsidRDefault="00495A55" w:rsidP="00495A55">
      <w:pPr>
        <w:pStyle w:val="ListParagraph"/>
        <w:numPr>
          <w:ilvl w:val="0"/>
          <w:numId w:val="44"/>
        </w:numPr>
        <w:tabs>
          <w:tab w:val="left" w:pos="8550"/>
        </w:tabs>
        <w:rPr>
          <w:rStyle w:val="EndnoteReference"/>
          <w:rFonts w:ascii="Arial" w:hAnsi="Arial" w:cs="Arial"/>
          <w:bCs/>
          <w:color w:val="000000" w:themeColor="text1"/>
          <w:sz w:val="22"/>
          <w:szCs w:val="22"/>
          <w:vertAlign w:val="baseline"/>
        </w:rPr>
      </w:pPr>
      <w:r>
        <w:rPr>
          <w:rFonts w:ascii="Arial" w:hAnsi="Arial" w:cs="Arial"/>
          <w:b/>
          <w:color w:val="000000" w:themeColor="text1"/>
          <w:sz w:val="22"/>
          <w:szCs w:val="22"/>
        </w:rPr>
        <w:t>China cracked down on “capitalist excesses.”</w:t>
      </w:r>
      <w:r>
        <w:rPr>
          <w:rFonts w:ascii="Arial" w:hAnsi="Arial" w:cs="Arial"/>
          <w:bCs/>
          <w:color w:val="000000" w:themeColor="text1"/>
          <w:sz w:val="22"/>
          <w:szCs w:val="22"/>
        </w:rPr>
        <w:t xml:space="preserve"> “</w:t>
      </w:r>
      <w:r w:rsidRPr="00441DC5">
        <w:rPr>
          <w:rFonts w:ascii="Arial" w:hAnsi="Arial" w:cs="Arial"/>
          <w:bCs/>
          <w:color w:val="000000" w:themeColor="text1"/>
          <w:sz w:val="22"/>
          <w:szCs w:val="22"/>
        </w:rPr>
        <w:t>More than $1trn was wiped off the collective market capitali</w:t>
      </w:r>
      <w:r>
        <w:rPr>
          <w:rFonts w:ascii="Arial" w:hAnsi="Arial" w:cs="Arial"/>
          <w:bCs/>
          <w:color w:val="000000" w:themeColor="text1"/>
          <w:sz w:val="22"/>
          <w:szCs w:val="22"/>
        </w:rPr>
        <w:t>z</w:t>
      </w:r>
      <w:r w:rsidRPr="00441DC5">
        <w:rPr>
          <w:rFonts w:ascii="Arial" w:hAnsi="Arial" w:cs="Arial"/>
          <w:bCs/>
          <w:color w:val="000000" w:themeColor="text1"/>
          <w:sz w:val="22"/>
          <w:szCs w:val="22"/>
        </w:rPr>
        <w:t>ation of some of the world’s largest internet groups</w:t>
      </w:r>
      <w:r>
        <w:rPr>
          <w:rFonts w:ascii="Arial" w:hAnsi="Arial" w:cs="Arial"/>
          <w:bCs/>
          <w:color w:val="000000" w:themeColor="text1"/>
          <w:sz w:val="22"/>
          <w:szCs w:val="22"/>
        </w:rPr>
        <w:t>..</w:t>
      </w:r>
      <w:r w:rsidRPr="00441DC5">
        <w:rPr>
          <w:rFonts w:ascii="Arial" w:hAnsi="Arial" w:cs="Arial"/>
          <w:bCs/>
          <w:color w:val="000000" w:themeColor="text1"/>
          <w:sz w:val="22"/>
          <w:szCs w:val="22"/>
        </w:rPr>
        <w:t>.Entire business models</w:t>
      </w:r>
      <w:r>
        <w:rPr>
          <w:rFonts w:ascii="Arial" w:hAnsi="Arial" w:cs="Arial"/>
          <w:bCs/>
          <w:color w:val="000000" w:themeColor="text1"/>
          <w:sz w:val="22"/>
          <w:szCs w:val="22"/>
        </w:rPr>
        <w:t xml:space="preserve"> – </w:t>
      </w:r>
      <w:r w:rsidRPr="00441DC5">
        <w:rPr>
          <w:rFonts w:ascii="Arial" w:hAnsi="Arial" w:cs="Arial"/>
          <w:bCs/>
          <w:color w:val="000000" w:themeColor="text1"/>
          <w:sz w:val="22"/>
          <w:szCs w:val="22"/>
        </w:rPr>
        <w:t>online tutoring, for example</w:t>
      </w:r>
      <w:r>
        <w:rPr>
          <w:rFonts w:ascii="Arial" w:hAnsi="Arial" w:cs="Arial"/>
          <w:bCs/>
          <w:color w:val="000000" w:themeColor="text1"/>
          <w:sz w:val="22"/>
          <w:szCs w:val="22"/>
        </w:rPr>
        <w:t xml:space="preserve"> – </w:t>
      </w:r>
      <w:r w:rsidRPr="00441DC5">
        <w:rPr>
          <w:rFonts w:ascii="Arial" w:hAnsi="Arial" w:cs="Arial"/>
          <w:bCs/>
          <w:color w:val="000000" w:themeColor="text1"/>
          <w:sz w:val="22"/>
          <w:szCs w:val="22"/>
        </w:rPr>
        <w:t>were laid waste. Investors needed to hear that an end was in sight. But on August 8th the Communist Party issued a five-year blueprint aimed at reshaping China’s tech industry</w:t>
      </w:r>
      <w:r>
        <w:rPr>
          <w:rFonts w:ascii="Arial" w:hAnsi="Arial" w:cs="Arial"/>
          <w:bCs/>
          <w:color w:val="000000" w:themeColor="text1"/>
          <w:sz w:val="22"/>
          <w:szCs w:val="22"/>
        </w:rPr>
        <w:t xml:space="preserve"> – </w:t>
      </w:r>
      <w:r w:rsidRPr="00441DC5">
        <w:rPr>
          <w:rFonts w:ascii="Arial" w:hAnsi="Arial" w:cs="Arial"/>
          <w:bCs/>
          <w:color w:val="000000" w:themeColor="text1"/>
          <w:sz w:val="22"/>
          <w:szCs w:val="22"/>
        </w:rPr>
        <w:t>confirming to even the most optimistic industry watchers that the abrasive changes would continue well into 2022</w:t>
      </w:r>
      <w:r>
        <w:rPr>
          <w:rFonts w:ascii="Arial" w:hAnsi="Arial" w:cs="Arial"/>
          <w:bCs/>
          <w:color w:val="000000" w:themeColor="text1"/>
          <w:sz w:val="22"/>
          <w:szCs w:val="22"/>
        </w:rPr>
        <w:t xml:space="preserve">,” explained </w:t>
      </w:r>
      <w:r w:rsidRPr="00CB1458">
        <w:rPr>
          <w:rFonts w:ascii="Arial" w:hAnsi="Arial" w:cs="Arial"/>
          <w:bCs/>
          <w:i/>
          <w:iCs/>
          <w:color w:val="000000" w:themeColor="text1"/>
          <w:sz w:val="22"/>
          <w:szCs w:val="22"/>
        </w:rPr>
        <w:t>The Economist</w:t>
      </w:r>
      <w:r>
        <w:rPr>
          <w:rFonts w:ascii="Arial" w:hAnsi="Arial" w:cs="Arial"/>
          <w:bCs/>
          <w:color w:val="000000" w:themeColor="text1"/>
          <w:sz w:val="22"/>
          <w:szCs w:val="22"/>
        </w:rPr>
        <w:t>.</w:t>
      </w:r>
    </w:p>
    <w:p w14:paraId="09901A31" w14:textId="77777777" w:rsidR="00495A55" w:rsidRPr="00BD5055" w:rsidRDefault="00495A55" w:rsidP="00495A55">
      <w:pPr>
        <w:rPr>
          <w:rFonts w:ascii="Arial" w:hAnsi="Arial" w:cs="Arial"/>
          <w:bCs/>
          <w:color w:val="000000" w:themeColor="text1"/>
          <w:sz w:val="22"/>
          <w:szCs w:val="22"/>
        </w:rPr>
      </w:pPr>
    </w:p>
    <w:p w14:paraId="78498A9C" w14:textId="233F6DFE" w:rsidR="00495A55" w:rsidRPr="001A05D5" w:rsidRDefault="00495A55" w:rsidP="00495A55">
      <w:pPr>
        <w:pStyle w:val="ListParagraph"/>
        <w:numPr>
          <w:ilvl w:val="0"/>
          <w:numId w:val="44"/>
        </w:numPr>
        <w:tabs>
          <w:tab w:val="left" w:pos="8550"/>
        </w:tabs>
        <w:rPr>
          <w:rFonts w:ascii="Arial" w:hAnsi="Arial" w:cs="Arial"/>
          <w:bCs/>
          <w:color w:val="000000" w:themeColor="text1"/>
          <w:sz w:val="22"/>
          <w:szCs w:val="22"/>
        </w:rPr>
      </w:pPr>
      <w:r w:rsidRPr="001A05D5">
        <w:rPr>
          <w:rFonts w:ascii="Arial" w:hAnsi="Arial" w:cs="Arial"/>
          <w:b/>
          <w:color w:val="000000" w:themeColor="text1"/>
          <w:sz w:val="22"/>
          <w:szCs w:val="22"/>
        </w:rPr>
        <w:t xml:space="preserve">Finding income in the bond market was challenging. </w:t>
      </w:r>
      <w:r w:rsidRPr="001A05D5">
        <w:rPr>
          <w:rFonts w:ascii="Arial" w:hAnsi="Arial" w:cs="Arial"/>
          <w:bCs/>
          <w:color w:val="000000" w:themeColor="text1"/>
          <w:sz w:val="22"/>
          <w:szCs w:val="22"/>
        </w:rPr>
        <w:t xml:space="preserve">“Emerging-market bonds were supposed to be dragged down this year as central banks moved toward withdrawing stimulus. Instead, the best-performing global debt was all from developing nations…South Africa, China, Indonesia, India and Croatia topped the rankings of 46 markets around the world in 2021,” reported Lilian </w:t>
      </w:r>
      <w:proofErr w:type="spellStart"/>
      <w:r w:rsidRPr="001A05D5">
        <w:rPr>
          <w:rFonts w:ascii="Arial" w:hAnsi="Arial" w:cs="Arial"/>
          <w:bCs/>
          <w:color w:val="000000" w:themeColor="text1"/>
          <w:sz w:val="22"/>
          <w:szCs w:val="22"/>
        </w:rPr>
        <w:t>Karunungan</w:t>
      </w:r>
      <w:proofErr w:type="spellEnd"/>
      <w:r w:rsidRPr="001A05D5">
        <w:rPr>
          <w:rFonts w:ascii="Arial" w:hAnsi="Arial" w:cs="Arial"/>
          <w:bCs/>
          <w:color w:val="000000" w:themeColor="text1"/>
          <w:sz w:val="22"/>
          <w:szCs w:val="22"/>
        </w:rPr>
        <w:t xml:space="preserve"> and Masaki Kondo of </w:t>
      </w:r>
      <w:r w:rsidRPr="001A05D5">
        <w:rPr>
          <w:rFonts w:ascii="Arial" w:hAnsi="Arial" w:cs="Arial"/>
          <w:bCs/>
          <w:i/>
          <w:iCs/>
          <w:color w:val="000000" w:themeColor="text1"/>
          <w:sz w:val="22"/>
          <w:szCs w:val="22"/>
        </w:rPr>
        <w:t>Bloomberg</w:t>
      </w:r>
      <w:r w:rsidRPr="001A05D5">
        <w:rPr>
          <w:rFonts w:ascii="Arial" w:hAnsi="Arial" w:cs="Arial"/>
          <w:bCs/>
          <w:color w:val="000000" w:themeColor="text1"/>
          <w:sz w:val="22"/>
          <w:szCs w:val="22"/>
        </w:rPr>
        <w:t>.</w:t>
      </w:r>
    </w:p>
    <w:p w14:paraId="38578772" w14:textId="77777777" w:rsidR="00495A55" w:rsidRDefault="00495A55" w:rsidP="00495A55">
      <w:pPr>
        <w:tabs>
          <w:tab w:val="left" w:pos="8550"/>
        </w:tabs>
        <w:rPr>
          <w:rFonts w:ascii="Arial" w:hAnsi="Arial" w:cs="Arial"/>
          <w:bCs/>
          <w:color w:val="000000" w:themeColor="text1"/>
          <w:sz w:val="22"/>
          <w:szCs w:val="22"/>
        </w:rPr>
      </w:pPr>
    </w:p>
    <w:p w14:paraId="10F3F529" w14:textId="77777777" w:rsidR="00495A55" w:rsidRDefault="00495A55" w:rsidP="00495A55">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It has been an honor to work with you during 2021. </w:t>
      </w:r>
      <w:r w:rsidRPr="009E7A6A">
        <w:rPr>
          <w:rFonts w:ascii="Arial" w:hAnsi="Arial" w:cs="Arial"/>
          <w:bCs/>
          <w:color w:val="000000" w:themeColor="text1"/>
          <w:sz w:val="22"/>
          <w:szCs w:val="22"/>
        </w:rPr>
        <w:t>We look forward to seeing you in the new year!</w:t>
      </w:r>
    </w:p>
    <w:p w14:paraId="7A10EA13" w14:textId="77777777" w:rsidR="00495A55" w:rsidRPr="003947FE" w:rsidRDefault="00495A55" w:rsidP="00495A55">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495A55" w:rsidRPr="00EF78F4" w14:paraId="7979D125" w14:textId="77777777" w:rsidTr="00183C7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0E657" w14:textId="77777777" w:rsidR="00495A55" w:rsidRPr="0075437E" w:rsidRDefault="00495A55" w:rsidP="00183C7B">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Data as of 12/</w:t>
            </w:r>
            <w:r>
              <w:rPr>
                <w:rFonts w:ascii="Arial" w:hAnsi="Arial" w:cs="Arial"/>
                <w:b/>
                <w:bCs/>
                <w:color w:val="000000" w:themeColor="text1"/>
                <w:sz w:val="22"/>
                <w:szCs w:val="22"/>
              </w:rPr>
              <w:t>31</w:t>
            </w:r>
            <w:r w:rsidRPr="0075437E">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35C19928" w14:textId="77777777" w:rsidR="00495A55" w:rsidRPr="0075437E" w:rsidRDefault="00495A55" w:rsidP="00183C7B">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D6F9E" w14:textId="77777777" w:rsidR="00495A55" w:rsidRPr="0075437E" w:rsidRDefault="00495A55" w:rsidP="00183C7B">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74FE34F" w14:textId="77777777" w:rsidR="00495A55" w:rsidRPr="0075437E" w:rsidRDefault="00495A55" w:rsidP="00183C7B">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ECFF830" w14:textId="77777777" w:rsidR="00495A55" w:rsidRPr="0075437E" w:rsidRDefault="00495A55" w:rsidP="00183C7B">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70FC8A" w14:textId="77777777" w:rsidR="00495A55" w:rsidRPr="0075437E" w:rsidRDefault="00495A55" w:rsidP="00183C7B">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950F54" w14:textId="77777777" w:rsidR="00495A55" w:rsidRPr="0075437E" w:rsidRDefault="00495A55" w:rsidP="00183C7B">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495A55" w:rsidRPr="00EF78F4" w14:paraId="269F26E1" w14:textId="77777777" w:rsidTr="00183C7B">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1596B28" w14:textId="77777777" w:rsidR="00495A55" w:rsidRPr="0075437E" w:rsidRDefault="00495A55" w:rsidP="00183C7B">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6E70BAF7" w14:textId="77777777" w:rsidR="00495A55" w:rsidRPr="0075437E" w:rsidRDefault="00495A55" w:rsidP="00183C7B">
            <w:pPr>
              <w:tabs>
                <w:tab w:val="left" w:pos="8550"/>
              </w:tabs>
              <w:jc w:val="center"/>
              <w:rPr>
                <w:rFonts w:ascii="Arial" w:hAnsi="Arial" w:cs="Arial"/>
                <w:sz w:val="22"/>
                <w:szCs w:val="22"/>
              </w:rPr>
            </w:pPr>
            <w:r>
              <w:rPr>
                <w:rFonts w:ascii="Arial" w:hAnsi="Arial" w:cs="Arial"/>
                <w:sz w:val="22"/>
                <w:szCs w:val="22"/>
              </w:rPr>
              <w:t>0.9</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5C182F9"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6.9</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1BCA845E"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6.9</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4344D201"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3.9</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4239519F"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6.1</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BFD11C3"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14.</w:t>
            </w:r>
            <w:r>
              <w:rPr>
                <w:rFonts w:ascii="Arial" w:hAnsi="Arial" w:cs="Arial"/>
                <w:sz w:val="22"/>
                <w:szCs w:val="22"/>
              </w:rPr>
              <w:t>1</w:t>
            </w:r>
            <w:r w:rsidRPr="0075437E">
              <w:rPr>
                <w:rFonts w:ascii="Arial" w:hAnsi="Arial" w:cs="Arial"/>
                <w:sz w:val="22"/>
                <w:szCs w:val="22"/>
              </w:rPr>
              <w:t>%</w:t>
            </w:r>
          </w:p>
        </w:tc>
      </w:tr>
      <w:tr w:rsidR="00495A55" w:rsidRPr="00EF78F4" w14:paraId="4B534197" w14:textId="77777777" w:rsidTr="00183C7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352B1" w14:textId="77777777" w:rsidR="00495A55" w:rsidRPr="0075437E" w:rsidRDefault="00495A55" w:rsidP="00183C7B">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0EA818AF"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7B6E2" w14:textId="77777777" w:rsidR="00495A55" w:rsidRPr="0075437E" w:rsidRDefault="00495A55" w:rsidP="00183C7B">
            <w:pPr>
              <w:tabs>
                <w:tab w:val="left" w:pos="263"/>
                <w:tab w:val="center" w:pos="372"/>
                <w:tab w:val="left" w:pos="8550"/>
              </w:tabs>
              <w:jc w:val="center"/>
              <w:rPr>
                <w:rFonts w:ascii="Arial" w:hAnsi="Arial" w:cs="Arial"/>
                <w:sz w:val="22"/>
                <w:szCs w:val="22"/>
              </w:rPr>
            </w:pPr>
            <w:r>
              <w:rPr>
                <w:rFonts w:ascii="Arial" w:hAnsi="Arial" w:cs="Arial"/>
                <w:sz w:val="22"/>
                <w:szCs w:val="22"/>
              </w:rPr>
              <w:t>5.7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BFD69D" w14:textId="77777777" w:rsidR="00495A55" w:rsidRPr="0075437E" w:rsidRDefault="00495A55" w:rsidP="00183C7B">
            <w:pPr>
              <w:tabs>
                <w:tab w:val="left" w:pos="8550"/>
              </w:tabs>
              <w:jc w:val="center"/>
              <w:rPr>
                <w:rFonts w:ascii="Arial" w:hAnsi="Arial" w:cs="Arial"/>
                <w:sz w:val="22"/>
                <w:szCs w:val="22"/>
              </w:rPr>
            </w:pPr>
            <w:r>
              <w:rPr>
                <w:rFonts w:ascii="Arial" w:hAnsi="Arial" w:cs="Arial"/>
                <w:sz w:val="22"/>
                <w:szCs w:val="22"/>
              </w:rPr>
              <w:t>5.7</w:t>
            </w:r>
          </w:p>
        </w:tc>
        <w:tc>
          <w:tcPr>
            <w:tcW w:w="900" w:type="dxa"/>
            <w:tcBorders>
              <w:top w:val="single" w:sz="4" w:space="0" w:color="auto"/>
              <w:left w:val="nil"/>
              <w:bottom w:val="single" w:sz="4" w:space="0" w:color="auto"/>
              <w:right w:val="single" w:sz="4" w:space="0" w:color="auto"/>
            </w:tcBorders>
            <w:shd w:val="clear" w:color="auto" w:fill="auto"/>
            <w:vAlign w:val="center"/>
          </w:tcPr>
          <w:p w14:paraId="6B992F0E" w14:textId="77777777" w:rsidR="00495A55" w:rsidRPr="0075437E" w:rsidRDefault="00495A55" w:rsidP="00183C7B">
            <w:pPr>
              <w:tabs>
                <w:tab w:val="left" w:pos="8550"/>
              </w:tabs>
              <w:jc w:val="center"/>
              <w:rPr>
                <w:rFonts w:ascii="Arial" w:hAnsi="Arial" w:cs="Arial"/>
                <w:sz w:val="22"/>
                <w:szCs w:val="22"/>
              </w:rPr>
            </w:pPr>
            <w:r>
              <w:rPr>
                <w:rFonts w:ascii="Arial" w:hAnsi="Arial" w:cs="Arial"/>
                <w:sz w:val="22"/>
                <w:szCs w:val="22"/>
              </w:rPr>
              <w:t>11.0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AF2D1C"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7.</w:t>
            </w:r>
            <w:r>
              <w:rPr>
                <w:rFonts w:ascii="Arial" w:hAnsi="Arial" w:cs="Arial"/>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628348"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5.</w:t>
            </w:r>
            <w:r>
              <w:rPr>
                <w:rFonts w:ascii="Arial" w:hAnsi="Arial" w:cs="Arial"/>
                <w:sz w:val="22"/>
                <w:szCs w:val="22"/>
              </w:rPr>
              <w:t>0</w:t>
            </w:r>
          </w:p>
        </w:tc>
      </w:tr>
      <w:tr w:rsidR="00495A55" w:rsidRPr="00EF78F4" w14:paraId="4AC2E4E0" w14:textId="77777777" w:rsidTr="00183C7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80EED" w14:textId="77777777" w:rsidR="00495A55" w:rsidRPr="0075437E" w:rsidRDefault="00495A55" w:rsidP="00183C7B">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54318877"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D2C6D" w14:textId="77777777" w:rsidR="00495A55" w:rsidRPr="0075437E" w:rsidRDefault="00495A55" w:rsidP="00183C7B">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AAE1A5B" w14:textId="77777777" w:rsidR="00495A55" w:rsidRPr="0075437E" w:rsidRDefault="00495A55" w:rsidP="00183C7B">
            <w:pPr>
              <w:tabs>
                <w:tab w:val="left" w:pos="8550"/>
              </w:tabs>
              <w:jc w:val="center"/>
              <w:rPr>
                <w:rFonts w:ascii="Arial" w:hAnsi="Arial" w:cs="Arial"/>
                <w:sz w:val="22"/>
                <w:szCs w:val="22"/>
              </w:rPr>
            </w:pPr>
            <w:r>
              <w:rPr>
                <w:rFonts w:ascii="Arial" w:hAnsi="Arial" w:cs="Arial"/>
                <w:sz w:val="22"/>
                <w:szCs w:val="22"/>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7435D6D8"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8008BD"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DC26A1" w14:textId="77777777" w:rsidR="00495A55" w:rsidRPr="0075437E" w:rsidRDefault="00495A55" w:rsidP="00183C7B">
            <w:pPr>
              <w:tabs>
                <w:tab w:val="left" w:pos="8550"/>
              </w:tabs>
              <w:jc w:val="center"/>
              <w:rPr>
                <w:rFonts w:ascii="Arial" w:hAnsi="Arial" w:cs="Arial"/>
                <w:sz w:val="22"/>
                <w:szCs w:val="22"/>
              </w:rPr>
            </w:pPr>
            <w:r>
              <w:rPr>
                <w:rFonts w:ascii="Arial" w:hAnsi="Arial" w:cs="Arial"/>
                <w:sz w:val="22"/>
                <w:szCs w:val="22"/>
              </w:rPr>
              <w:t>2.0</w:t>
            </w:r>
          </w:p>
        </w:tc>
      </w:tr>
      <w:tr w:rsidR="00495A55" w:rsidRPr="00EF78F4" w14:paraId="4D4E0C44" w14:textId="77777777" w:rsidTr="00183C7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33EEA" w14:textId="77777777" w:rsidR="00495A55" w:rsidRPr="0075437E" w:rsidRDefault="00495A55" w:rsidP="00183C7B">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1021732C" w14:textId="77777777" w:rsidR="00495A55" w:rsidRPr="0075437E" w:rsidRDefault="00495A55" w:rsidP="00183C7B">
            <w:pPr>
              <w:tabs>
                <w:tab w:val="left" w:pos="8550"/>
              </w:tabs>
              <w:jc w:val="center"/>
              <w:rPr>
                <w:rFonts w:ascii="Arial" w:hAnsi="Arial" w:cs="Arial"/>
                <w:sz w:val="22"/>
                <w:szCs w:val="22"/>
              </w:rPr>
            </w:pPr>
            <w:r>
              <w:rPr>
                <w:rFonts w:ascii="Arial" w:hAnsi="Arial" w:cs="Arial"/>
                <w:sz w:val="22"/>
                <w:szCs w:val="22"/>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C227E"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-4.</w:t>
            </w:r>
            <w:r>
              <w:rPr>
                <w:rFonts w:ascii="Arial" w:hAnsi="Arial" w:cs="Arial"/>
                <w:sz w:val="22"/>
                <w:szCs w:val="22"/>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9D42EDC"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w:t>
            </w:r>
            <w:r>
              <w:rPr>
                <w:rFonts w:ascii="Arial" w:hAnsi="Arial" w:cs="Arial"/>
                <w:sz w:val="22"/>
                <w:szCs w:val="22"/>
              </w:rPr>
              <w:t>4.5</w:t>
            </w:r>
          </w:p>
        </w:tc>
        <w:tc>
          <w:tcPr>
            <w:tcW w:w="900" w:type="dxa"/>
            <w:tcBorders>
              <w:top w:val="single" w:sz="4" w:space="0" w:color="auto"/>
              <w:left w:val="nil"/>
              <w:bottom w:val="single" w:sz="4" w:space="0" w:color="auto"/>
              <w:right w:val="single" w:sz="4" w:space="0" w:color="auto"/>
            </w:tcBorders>
            <w:shd w:val="clear" w:color="auto" w:fill="auto"/>
            <w:vAlign w:val="center"/>
          </w:tcPr>
          <w:p w14:paraId="5C16AE1F"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22D35F"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9.</w:t>
            </w:r>
            <w:r>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13C3DE"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1.2</w:t>
            </w:r>
          </w:p>
        </w:tc>
      </w:tr>
      <w:tr w:rsidR="00495A55" w:rsidRPr="00EF78F4" w14:paraId="08092F81" w14:textId="77777777" w:rsidTr="00183C7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966D8" w14:textId="77777777" w:rsidR="00495A55" w:rsidRPr="0075437E" w:rsidRDefault="00495A55" w:rsidP="00183C7B">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232B33A7" w14:textId="77777777" w:rsidR="00495A55" w:rsidRPr="0075437E" w:rsidRDefault="00495A55" w:rsidP="00183C7B">
            <w:pPr>
              <w:tabs>
                <w:tab w:val="left" w:pos="8550"/>
              </w:tabs>
              <w:jc w:val="center"/>
              <w:rPr>
                <w:rFonts w:ascii="Arial" w:hAnsi="Arial" w:cs="Arial"/>
                <w:sz w:val="22"/>
                <w:szCs w:val="22"/>
              </w:rPr>
            </w:pPr>
            <w:r>
              <w:rPr>
                <w:rFonts w:ascii="Arial" w:hAnsi="Arial" w:cs="Arial"/>
                <w:sz w:val="22"/>
                <w:szCs w:val="22"/>
              </w:rPr>
              <w:t>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95693"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32B1521"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7.1</w:t>
            </w:r>
          </w:p>
        </w:tc>
        <w:tc>
          <w:tcPr>
            <w:tcW w:w="900" w:type="dxa"/>
            <w:tcBorders>
              <w:top w:val="single" w:sz="4" w:space="0" w:color="auto"/>
              <w:left w:val="nil"/>
              <w:bottom w:val="single" w:sz="4" w:space="0" w:color="auto"/>
              <w:right w:val="single" w:sz="4" w:space="0" w:color="auto"/>
            </w:tcBorders>
            <w:shd w:val="clear" w:color="auto" w:fill="auto"/>
            <w:vAlign w:val="center"/>
          </w:tcPr>
          <w:p w14:paraId="46D650A7" w14:textId="77777777" w:rsidR="00495A55" w:rsidRPr="0075437E" w:rsidRDefault="00495A55" w:rsidP="00183C7B">
            <w:pPr>
              <w:tabs>
                <w:tab w:val="left" w:pos="8550"/>
              </w:tabs>
              <w:jc w:val="center"/>
              <w:rPr>
                <w:rFonts w:ascii="Arial" w:hAnsi="Arial" w:cs="Arial"/>
                <w:sz w:val="22"/>
                <w:szCs w:val="22"/>
              </w:rPr>
            </w:pPr>
            <w:r>
              <w:rPr>
                <w:rFonts w:ascii="Arial" w:hAnsi="Arial" w:cs="Arial"/>
                <w:sz w:val="22"/>
                <w:szCs w:val="22"/>
              </w:rPr>
              <w:t>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E10351" w14:textId="77777777" w:rsidR="00495A55" w:rsidRPr="0075437E" w:rsidRDefault="00495A55" w:rsidP="00183C7B">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48FC71" w14:textId="77777777" w:rsidR="00495A55" w:rsidRPr="0075437E" w:rsidRDefault="00495A55" w:rsidP="00183C7B">
            <w:pPr>
              <w:tabs>
                <w:tab w:val="left" w:pos="8550"/>
              </w:tabs>
              <w:jc w:val="center"/>
              <w:rPr>
                <w:rFonts w:ascii="Arial" w:hAnsi="Arial" w:cs="Arial"/>
                <w:sz w:val="22"/>
                <w:szCs w:val="22"/>
              </w:rPr>
            </w:pPr>
            <w:r>
              <w:rPr>
                <w:rFonts w:ascii="Arial" w:hAnsi="Arial" w:cs="Arial"/>
                <w:sz w:val="22"/>
                <w:szCs w:val="22"/>
              </w:rPr>
              <w:t>-</w:t>
            </w:r>
            <w:r w:rsidRPr="0075437E">
              <w:rPr>
                <w:rFonts w:ascii="Arial" w:hAnsi="Arial" w:cs="Arial"/>
                <w:sz w:val="22"/>
                <w:szCs w:val="22"/>
              </w:rPr>
              <w:t>3.</w:t>
            </w:r>
            <w:r>
              <w:rPr>
                <w:rFonts w:ascii="Arial" w:hAnsi="Arial" w:cs="Arial"/>
                <w:sz w:val="22"/>
                <w:szCs w:val="22"/>
              </w:rPr>
              <w:t>6</w:t>
            </w:r>
          </w:p>
        </w:tc>
      </w:tr>
    </w:tbl>
    <w:p w14:paraId="63702108" w14:textId="77777777" w:rsidR="00495A55" w:rsidRPr="006F4C0C" w:rsidRDefault="00495A55" w:rsidP="00495A55">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FB02072" w14:textId="77777777" w:rsidR="00495A55" w:rsidRPr="006F4C0C" w:rsidRDefault="00495A55" w:rsidP="00495A55">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02D9AEE0" w14:textId="77777777" w:rsidR="00495A55" w:rsidRDefault="00495A55" w:rsidP="00495A55">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74168BB5" w14:textId="77777777" w:rsidR="00495A55" w:rsidRDefault="00495A55" w:rsidP="00495A55">
      <w:pPr>
        <w:rPr>
          <w:rFonts w:ascii="Arial" w:hAnsi="Arial" w:cs="Arial"/>
          <w:sz w:val="18"/>
          <w:szCs w:val="18"/>
        </w:rPr>
      </w:pPr>
    </w:p>
    <w:p w14:paraId="1FFA91C6" w14:textId="5DE548F7" w:rsidR="00495A55" w:rsidRDefault="00495A55" w:rsidP="00495A55">
      <w:pPr>
        <w:rPr>
          <w:rFonts w:ascii="Arial" w:hAnsi="Arial" w:cs="Arial"/>
          <w:bCs/>
          <w:color w:val="000000" w:themeColor="text1"/>
          <w:sz w:val="22"/>
          <w:szCs w:val="22"/>
        </w:rPr>
      </w:pPr>
      <w:r>
        <w:rPr>
          <w:rFonts w:ascii="Arial" w:hAnsi="Arial" w:cs="Arial"/>
          <w:b/>
          <w:bCs/>
          <w:caps/>
          <w:color w:val="0D304A"/>
          <w:sz w:val="22"/>
          <w:szCs w:val="22"/>
        </w:rPr>
        <w:t>the latest fashion: Resale and Reuse...</w:t>
      </w:r>
      <w:r w:rsidRPr="005A51F8">
        <w:rPr>
          <w:rFonts w:ascii="Arial" w:hAnsi="Arial" w:cs="Arial"/>
          <w:color w:val="000000" w:themeColor="text1"/>
          <w:sz w:val="22"/>
          <w:szCs w:val="22"/>
        </w:rPr>
        <w:t xml:space="preserve">If there was a spectrum </w:t>
      </w:r>
      <w:r>
        <w:rPr>
          <w:rFonts w:ascii="Arial" w:hAnsi="Arial" w:cs="Arial"/>
          <w:color w:val="000000" w:themeColor="text1"/>
          <w:sz w:val="22"/>
          <w:szCs w:val="22"/>
        </w:rPr>
        <w:t xml:space="preserve">that reflected the value and longevity of </w:t>
      </w:r>
      <w:r w:rsidRPr="005A51F8">
        <w:rPr>
          <w:rFonts w:ascii="Arial" w:hAnsi="Arial" w:cs="Arial"/>
          <w:color w:val="000000" w:themeColor="text1"/>
          <w:sz w:val="22"/>
          <w:szCs w:val="22"/>
        </w:rPr>
        <w:t>everything we owned</w:t>
      </w:r>
      <w:r>
        <w:rPr>
          <w:rFonts w:ascii="Arial" w:hAnsi="Arial" w:cs="Arial"/>
          <w:color w:val="000000" w:themeColor="text1"/>
          <w:sz w:val="22"/>
          <w:szCs w:val="22"/>
        </w:rPr>
        <w:t>, c</w:t>
      </w:r>
      <w:r>
        <w:rPr>
          <w:rFonts w:ascii="Arial" w:hAnsi="Arial" w:cs="Arial"/>
          <w:bCs/>
          <w:color w:val="000000" w:themeColor="text1"/>
          <w:sz w:val="22"/>
          <w:szCs w:val="22"/>
        </w:rPr>
        <w:t xml:space="preserve">onsumables (coffee and cell phones) might be at one end, durables (automobiles and appliances) in the middle, and items with enduring value (homes and collectibles) on the other end, according to </w:t>
      </w:r>
      <w:r w:rsidRPr="00B77FFA">
        <w:rPr>
          <w:rFonts w:ascii="Arial" w:hAnsi="Arial" w:cs="Arial"/>
          <w:bCs/>
          <w:i/>
          <w:iCs/>
          <w:color w:val="000000" w:themeColor="text1"/>
          <w:sz w:val="22"/>
          <w:szCs w:val="22"/>
        </w:rPr>
        <w:t>The Economis</w:t>
      </w:r>
      <w:r>
        <w:rPr>
          <w:rFonts w:ascii="Arial" w:hAnsi="Arial" w:cs="Arial"/>
          <w:bCs/>
          <w:i/>
          <w:iCs/>
          <w:color w:val="000000" w:themeColor="text1"/>
          <w:sz w:val="22"/>
          <w:szCs w:val="22"/>
        </w:rPr>
        <w:t>t.</w:t>
      </w:r>
    </w:p>
    <w:p w14:paraId="6AB71C70" w14:textId="77777777" w:rsidR="00495A55" w:rsidRDefault="00495A55" w:rsidP="00495A55">
      <w:pPr>
        <w:rPr>
          <w:rFonts w:ascii="Arial" w:hAnsi="Arial" w:cs="Arial"/>
          <w:bCs/>
          <w:color w:val="000000" w:themeColor="text1"/>
          <w:sz w:val="22"/>
          <w:szCs w:val="22"/>
        </w:rPr>
      </w:pPr>
    </w:p>
    <w:p w14:paraId="0DCAE7C8" w14:textId="77777777" w:rsidR="00495A55" w:rsidRDefault="00495A55" w:rsidP="00495A55">
      <w:r>
        <w:rPr>
          <w:rFonts w:ascii="Arial" w:hAnsi="Arial" w:cs="Arial"/>
          <w:bCs/>
          <w:color w:val="000000" w:themeColor="text1"/>
          <w:sz w:val="22"/>
          <w:szCs w:val="22"/>
        </w:rPr>
        <w:t xml:space="preserve">Clothing might belong on different parts of the spectrum. Everyday socks might be on one end while </w:t>
      </w:r>
      <w:r>
        <w:rPr>
          <w:rFonts w:ascii="Arial" w:hAnsi="Arial" w:cs="Arial"/>
          <w:color w:val="000000"/>
          <w:sz w:val="21"/>
          <w:szCs w:val="21"/>
          <w:shd w:val="clear" w:color="auto" w:fill="FFFFFF"/>
        </w:rPr>
        <w:t>Audrey Hepburn’s little black dress from Breakfast at Tiffany’s and Neil Armstrong’s Apollo 11 spacesuit ranged toward the other end.</w:t>
      </w:r>
    </w:p>
    <w:p w14:paraId="3C2A9722" w14:textId="77777777" w:rsidR="00495A55" w:rsidRDefault="00495A55" w:rsidP="00495A55">
      <w:pPr>
        <w:rPr>
          <w:rFonts w:ascii="Arial" w:hAnsi="Arial" w:cs="Arial"/>
          <w:bCs/>
          <w:color w:val="000000" w:themeColor="text1"/>
          <w:sz w:val="22"/>
          <w:szCs w:val="22"/>
        </w:rPr>
      </w:pPr>
    </w:p>
    <w:p w14:paraId="48F4C506" w14:textId="1CB9A701" w:rsidR="00495A55" w:rsidRDefault="00495A55" w:rsidP="00495A55">
      <w:pPr>
        <w:rPr>
          <w:rFonts w:ascii="Arial" w:hAnsi="Arial" w:cs="Arial"/>
          <w:bCs/>
          <w:color w:val="000000" w:themeColor="text1"/>
          <w:sz w:val="22"/>
          <w:szCs w:val="22"/>
        </w:rPr>
      </w:pPr>
      <w:r>
        <w:rPr>
          <w:rFonts w:ascii="Arial" w:hAnsi="Arial" w:cs="Arial"/>
          <w:bCs/>
          <w:color w:val="000000" w:themeColor="text1"/>
          <w:sz w:val="22"/>
          <w:szCs w:val="22"/>
        </w:rPr>
        <w:t>Currently, people spend less on clothes, overall, but buy more than they once did. Often, items are worn a few times and then discarded. As a result, the fashion industry has a sustainability problem.</w:t>
      </w:r>
      <w:r>
        <w:rPr>
          <w:rStyle w:val="EndnoteReference"/>
          <w:rFonts w:ascii="Arial" w:hAnsi="Arial" w:cs="Arial"/>
          <w:sz w:val="22"/>
          <w:szCs w:val="22"/>
        </w:rPr>
        <w:t xml:space="preserve"> </w:t>
      </w:r>
      <w:r w:rsidRPr="00960D2D">
        <w:rPr>
          <w:rFonts w:ascii="Arial" w:hAnsi="Arial" w:cs="Arial"/>
          <w:bCs/>
          <w:i/>
          <w:iCs/>
          <w:color w:val="000000" w:themeColor="text1"/>
          <w:sz w:val="22"/>
          <w:szCs w:val="22"/>
        </w:rPr>
        <w:t>The Economist</w:t>
      </w:r>
      <w:r>
        <w:rPr>
          <w:rFonts w:ascii="Arial" w:hAnsi="Arial" w:cs="Arial"/>
          <w:bCs/>
          <w:color w:val="000000" w:themeColor="text1"/>
          <w:sz w:val="22"/>
          <w:szCs w:val="22"/>
        </w:rPr>
        <w:t xml:space="preserve"> reported:</w:t>
      </w:r>
    </w:p>
    <w:p w14:paraId="71375091" w14:textId="77777777" w:rsidR="00495A55" w:rsidRDefault="00495A55" w:rsidP="00495A55">
      <w:pPr>
        <w:rPr>
          <w:rFonts w:ascii="Arial" w:hAnsi="Arial" w:cs="Arial"/>
          <w:bCs/>
          <w:color w:val="000000" w:themeColor="text1"/>
          <w:sz w:val="22"/>
          <w:szCs w:val="22"/>
        </w:rPr>
      </w:pPr>
    </w:p>
    <w:p w14:paraId="721ABF43" w14:textId="0EEBF478" w:rsidR="00495A55" w:rsidRPr="007356B9" w:rsidRDefault="00495A55" w:rsidP="00495A55">
      <w:pPr>
        <w:rPr>
          <w:rFonts w:ascii="Arial" w:hAnsi="Arial" w:cs="Arial"/>
          <w:bCs/>
          <w:color w:val="000000" w:themeColor="text1"/>
          <w:sz w:val="22"/>
          <w:szCs w:val="22"/>
        </w:rPr>
      </w:pPr>
      <w:r>
        <w:rPr>
          <w:rFonts w:ascii="Arial" w:hAnsi="Arial" w:cs="Arial"/>
          <w:bCs/>
          <w:color w:val="000000" w:themeColor="text1"/>
          <w:sz w:val="22"/>
          <w:szCs w:val="22"/>
        </w:rPr>
        <w:t>“…</w:t>
      </w:r>
      <w:r w:rsidRPr="00960D2D">
        <w:rPr>
          <w:rFonts w:ascii="Arial" w:hAnsi="Arial" w:cs="Arial"/>
          <w:bCs/>
          <w:color w:val="000000" w:themeColor="text1"/>
          <w:sz w:val="22"/>
          <w:szCs w:val="22"/>
        </w:rPr>
        <w:t>industry studies reckon that clothing manufacture and distribution account for between 2% and 8% of global carbon emissions. The fashion industry probably emits more carbon than aviation (3% of emissions) or shipping (2</w:t>
      </w:r>
      <w:r w:rsidRPr="00EC023D">
        <w:rPr>
          <w:rFonts w:ascii="Arial" w:hAnsi="Arial" w:cs="Arial"/>
          <w:bCs/>
          <w:color w:val="000000" w:themeColor="text1"/>
          <w:sz w:val="22"/>
          <w:szCs w:val="22"/>
        </w:rPr>
        <w:t>%).”</w:t>
      </w:r>
    </w:p>
    <w:p w14:paraId="07285F76" w14:textId="77777777" w:rsidR="00495A55" w:rsidRDefault="00495A55" w:rsidP="00495A55">
      <w:pPr>
        <w:rPr>
          <w:rFonts w:ascii="Arial" w:hAnsi="Arial" w:cs="Arial"/>
          <w:bCs/>
          <w:color w:val="000000" w:themeColor="text1"/>
          <w:sz w:val="22"/>
          <w:szCs w:val="22"/>
        </w:rPr>
      </w:pPr>
    </w:p>
    <w:p w14:paraId="32E2D78F" w14:textId="7D97D5CA" w:rsidR="00495A55" w:rsidRDefault="00495A55" w:rsidP="00495A55">
      <w:pPr>
        <w:rPr>
          <w:rFonts w:ascii="Arial" w:hAnsi="Arial" w:cs="Arial"/>
          <w:bCs/>
          <w:color w:val="000000" w:themeColor="text1"/>
          <w:sz w:val="22"/>
          <w:szCs w:val="22"/>
        </w:rPr>
      </w:pPr>
      <w:r>
        <w:rPr>
          <w:rFonts w:ascii="Arial" w:hAnsi="Arial" w:cs="Arial"/>
          <w:bCs/>
          <w:color w:val="000000" w:themeColor="text1"/>
          <w:sz w:val="22"/>
          <w:szCs w:val="22"/>
        </w:rPr>
        <w:t xml:space="preserve">With consumers prioritizing sustainability, fashion has begun to change. More people are cleaning out their closets and selling clothing online, according to the </w:t>
      </w:r>
      <w:r w:rsidRPr="00205D29">
        <w:rPr>
          <w:rFonts w:ascii="Arial" w:hAnsi="Arial" w:cs="Arial"/>
          <w:bCs/>
          <w:color w:val="000000" w:themeColor="text1"/>
          <w:sz w:val="22"/>
          <w:szCs w:val="22"/>
        </w:rPr>
        <w:t>2021 Resale Report.</w:t>
      </w:r>
      <w:r>
        <w:rPr>
          <w:rFonts w:ascii="Arial" w:hAnsi="Arial" w:cs="Arial"/>
          <w:bCs/>
          <w:color w:val="000000" w:themeColor="text1"/>
          <w:sz w:val="22"/>
          <w:szCs w:val="22"/>
        </w:rPr>
        <w:t xml:space="preserve"> As a result, the resale clothing marketplace is expected to double, reaching $77 billion, during the next five years.</w:t>
      </w:r>
    </w:p>
    <w:p w14:paraId="43744A70" w14:textId="77777777" w:rsidR="00495A55" w:rsidRDefault="00495A55" w:rsidP="00495A55">
      <w:pPr>
        <w:rPr>
          <w:rFonts w:ascii="Arial" w:hAnsi="Arial" w:cs="Arial"/>
          <w:bCs/>
          <w:color w:val="000000" w:themeColor="text1"/>
          <w:sz w:val="22"/>
          <w:szCs w:val="22"/>
        </w:rPr>
      </w:pPr>
    </w:p>
    <w:p w14:paraId="5F587B15" w14:textId="05629C50" w:rsidR="00495A55" w:rsidRDefault="00495A55" w:rsidP="00495A55">
      <w:pPr>
        <w:rPr>
          <w:rFonts w:ascii="Arial" w:hAnsi="Arial" w:cs="Arial"/>
          <w:bCs/>
          <w:color w:val="000000" w:themeColor="text1"/>
          <w:sz w:val="22"/>
          <w:szCs w:val="22"/>
        </w:rPr>
      </w:pPr>
      <w:r>
        <w:rPr>
          <w:rFonts w:ascii="Arial" w:hAnsi="Arial" w:cs="Arial"/>
          <w:bCs/>
          <w:color w:val="000000" w:themeColor="text1"/>
          <w:sz w:val="22"/>
          <w:szCs w:val="22"/>
        </w:rPr>
        <w:t>That may be the tip of the iceberg. Thirty-six billion pieces of clothing are thrown out by Americans each year, and estimates suggest that 95 percent could be recycled or reused.</w:t>
      </w:r>
    </w:p>
    <w:p w14:paraId="6076D102" w14:textId="77777777" w:rsidR="00495A55" w:rsidRPr="005336D8" w:rsidRDefault="00495A55" w:rsidP="00495A55">
      <w:pPr>
        <w:rPr>
          <w:rFonts w:ascii="Arial" w:hAnsi="Arial" w:cs="Arial"/>
          <w:sz w:val="22"/>
          <w:szCs w:val="22"/>
        </w:rPr>
      </w:pPr>
    </w:p>
    <w:p w14:paraId="493D27A5" w14:textId="77777777" w:rsidR="00495A55" w:rsidRPr="005336D8" w:rsidRDefault="00495A55" w:rsidP="00495A55">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t xml:space="preserve">Weekly Focus – Think About It </w:t>
      </w:r>
    </w:p>
    <w:p w14:paraId="4A26D0B0" w14:textId="77777777" w:rsidR="00495A55" w:rsidRPr="00AE44F1" w:rsidRDefault="00495A55" w:rsidP="00495A55">
      <w:pPr>
        <w:ind w:right="-36"/>
        <w:rPr>
          <w:rFonts w:ascii="Arial" w:hAnsi="Arial" w:cs="Arial"/>
          <w:color w:val="000000"/>
          <w:sz w:val="22"/>
          <w:szCs w:val="22"/>
        </w:rPr>
      </w:pPr>
      <w:r w:rsidRPr="00AE44F1">
        <w:rPr>
          <w:rFonts w:ascii="Arial" w:hAnsi="Arial" w:cs="Arial"/>
          <w:color w:val="000000"/>
          <w:sz w:val="22"/>
          <w:szCs w:val="22"/>
        </w:rPr>
        <w:t>“Hope</w:t>
      </w:r>
    </w:p>
    <w:p w14:paraId="4E20D16B" w14:textId="77777777" w:rsidR="00495A55" w:rsidRPr="00AE44F1" w:rsidRDefault="00495A55" w:rsidP="00495A55">
      <w:pPr>
        <w:ind w:right="-36"/>
        <w:rPr>
          <w:rFonts w:ascii="Arial" w:hAnsi="Arial" w:cs="Arial"/>
          <w:color w:val="000000"/>
          <w:sz w:val="22"/>
          <w:szCs w:val="22"/>
        </w:rPr>
      </w:pPr>
      <w:r w:rsidRPr="00AE44F1">
        <w:rPr>
          <w:rFonts w:ascii="Arial" w:hAnsi="Arial" w:cs="Arial"/>
          <w:color w:val="000000"/>
          <w:sz w:val="22"/>
          <w:szCs w:val="22"/>
        </w:rPr>
        <w:t xml:space="preserve">Smiles from the threshold of the year to come, </w:t>
      </w:r>
    </w:p>
    <w:p w14:paraId="5C0EDBC6" w14:textId="082E132E" w:rsidR="00495A55" w:rsidRPr="00AE44F1" w:rsidRDefault="00495A55" w:rsidP="00495A55">
      <w:pPr>
        <w:ind w:right="-36"/>
        <w:rPr>
          <w:rFonts w:ascii="Arial" w:hAnsi="Arial" w:cs="Arial"/>
          <w:color w:val="000000"/>
          <w:sz w:val="22"/>
          <w:szCs w:val="22"/>
        </w:rPr>
      </w:pPr>
      <w:r w:rsidRPr="00AE44F1">
        <w:rPr>
          <w:rFonts w:ascii="Arial" w:hAnsi="Arial" w:cs="Arial"/>
          <w:color w:val="000000"/>
          <w:sz w:val="22"/>
          <w:szCs w:val="22"/>
        </w:rPr>
        <w:t xml:space="preserve">Whispering </w:t>
      </w:r>
      <w:r>
        <w:rPr>
          <w:rFonts w:ascii="Arial" w:hAnsi="Arial" w:cs="Arial"/>
          <w:color w:val="000000"/>
          <w:sz w:val="22"/>
          <w:szCs w:val="22"/>
        </w:rPr>
        <w:t>‘</w:t>
      </w:r>
      <w:r w:rsidRPr="00AE44F1">
        <w:rPr>
          <w:rFonts w:ascii="Arial" w:hAnsi="Arial" w:cs="Arial"/>
          <w:color w:val="000000"/>
          <w:sz w:val="22"/>
          <w:szCs w:val="22"/>
        </w:rPr>
        <w:t>it will be happier</w:t>
      </w:r>
      <w:r>
        <w:rPr>
          <w:rFonts w:ascii="Arial" w:hAnsi="Arial" w:cs="Arial"/>
          <w:color w:val="000000"/>
          <w:sz w:val="22"/>
          <w:szCs w:val="22"/>
        </w:rPr>
        <w:t>’</w:t>
      </w:r>
      <w:r w:rsidRPr="00AE44F1">
        <w:rPr>
          <w:rFonts w:ascii="Arial" w:hAnsi="Arial" w:cs="Arial"/>
          <w:color w:val="000000"/>
          <w:sz w:val="22"/>
          <w:szCs w:val="22"/>
        </w:rPr>
        <w:t>...”</w:t>
      </w:r>
    </w:p>
    <w:p w14:paraId="411215F8" w14:textId="77777777" w:rsidR="00495A55" w:rsidRPr="00D77B39" w:rsidRDefault="00495A55" w:rsidP="00495A55">
      <w:pPr>
        <w:ind w:right="-36"/>
        <w:jc w:val="right"/>
        <w:rPr>
          <w:rFonts w:ascii="Arial" w:hAnsi="Arial" w:cs="Arial"/>
          <w:i/>
          <w:iCs/>
          <w:color w:val="000000"/>
          <w:sz w:val="22"/>
          <w:szCs w:val="22"/>
        </w:rPr>
      </w:pPr>
      <w:r>
        <w:rPr>
          <w:rFonts w:ascii="Arial" w:hAnsi="Arial" w:cs="Arial"/>
          <w:i/>
          <w:iCs/>
          <w:color w:val="000000"/>
          <w:sz w:val="22"/>
          <w:szCs w:val="22"/>
        </w:rPr>
        <w:t>—</w:t>
      </w:r>
      <w:r w:rsidRPr="00D77B39">
        <w:rPr>
          <w:rFonts w:ascii="Arial" w:hAnsi="Arial" w:cs="Arial"/>
          <w:i/>
          <w:iCs/>
          <w:color w:val="000000"/>
          <w:sz w:val="22"/>
          <w:szCs w:val="22"/>
        </w:rPr>
        <w:t xml:space="preserve">Alfred Lord Tennyson, </w:t>
      </w:r>
      <w:r>
        <w:rPr>
          <w:rFonts w:ascii="Arial" w:hAnsi="Arial" w:cs="Arial"/>
          <w:i/>
          <w:iCs/>
          <w:color w:val="000000"/>
          <w:sz w:val="22"/>
          <w:szCs w:val="22"/>
        </w:rPr>
        <w:t>p</w:t>
      </w:r>
      <w:r w:rsidRPr="00D77B39">
        <w:rPr>
          <w:rFonts w:ascii="Arial" w:hAnsi="Arial" w:cs="Arial"/>
          <w:i/>
          <w:iCs/>
          <w:color w:val="000000"/>
          <w:sz w:val="22"/>
          <w:szCs w:val="22"/>
        </w:rPr>
        <w:t>oet</w:t>
      </w:r>
    </w:p>
    <w:p w14:paraId="7FAACBEC" w14:textId="0D989FCA" w:rsidR="005A59C7" w:rsidRPr="003947FE" w:rsidRDefault="009A347D" w:rsidP="005A59C7">
      <w:pPr>
        <w:ind w:right="-36"/>
        <w:jc w:val="right"/>
        <w:rPr>
          <w:rFonts w:ascii="Arial" w:hAnsi="Arial" w:cs="Arial"/>
          <w:i/>
          <w:iCs/>
          <w:color w:val="000000"/>
          <w:sz w:val="22"/>
          <w:szCs w:val="22"/>
        </w:rPr>
      </w:pPr>
      <w:r>
        <w:rPr>
          <w:rFonts w:ascii="Arial" w:hAnsi="Arial" w:cs="Arial"/>
          <w:i/>
          <w:iCs/>
          <w:color w:val="000000"/>
          <w:sz w:val="22"/>
          <w:szCs w:val="22"/>
        </w:rPr>
        <w:br/>
      </w: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26BD4735" w14:textId="77777777" w:rsidR="0036532A" w:rsidRDefault="0036532A" w:rsidP="0036532A">
      <w:pPr>
        <w:ind w:right="-36"/>
        <w:rPr>
          <w:rFonts w:ascii="Arial" w:hAnsi="Arial" w:cs="Arial"/>
          <w:color w:val="000000"/>
          <w:sz w:val="14"/>
          <w:szCs w:val="14"/>
        </w:rPr>
      </w:pPr>
    </w:p>
    <w:p w14:paraId="5D838891" w14:textId="77777777" w:rsidR="0036532A" w:rsidRDefault="0036532A" w:rsidP="0036532A">
      <w:pPr>
        <w:pStyle w:val="NormalWeb"/>
        <w:spacing w:before="0" w:beforeAutospacing="0" w:after="0" w:afterAutospacing="0"/>
        <w:rPr>
          <w:rFonts w:ascii="Arial" w:hAnsi="Arial" w:cs="Arial"/>
          <w:sz w:val="22"/>
          <w:szCs w:val="22"/>
        </w:rPr>
      </w:pPr>
    </w:p>
    <w:p w14:paraId="46618EC0" w14:textId="2C01D635" w:rsidR="0036532A" w:rsidRDefault="0036532A" w:rsidP="0036532A">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7AE3511" w14:textId="77777777" w:rsidR="0036532A" w:rsidRDefault="0036532A" w:rsidP="0036532A">
      <w:pPr>
        <w:rPr>
          <w:rFonts w:ascii="Arial" w:hAnsi="Arial" w:cs="Arial"/>
          <w:sz w:val="22"/>
          <w:szCs w:val="22"/>
        </w:rPr>
      </w:pPr>
      <w:r>
        <w:rPr>
          <w:rFonts w:ascii="Arial" w:hAnsi="Arial" w:cs="Arial"/>
          <w:sz w:val="22"/>
          <w:szCs w:val="22"/>
        </w:rPr>
        <w:t>Securities offered through Commonwealth Financial, Member FINRA/SIPC.</w:t>
      </w:r>
    </w:p>
    <w:p w14:paraId="03A6AB2F" w14:textId="77777777" w:rsidR="0036532A" w:rsidRDefault="0036532A" w:rsidP="0056229A">
      <w:pPr>
        <w:rPr>
          <w:rFonts w:ascii="Arial" w:hAnsi="Arial" w:cs="Arial"/>
          <w:color w:val="000000"/>
          <w:sz w:val="18"/>
          <w:szCs w:val="18"/>
        </w:rPr>
      </w:pPr>
    </w:p>
    <w:p w14:paraId="310045D4" w14:textId="7707DC98"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2A2425B1" w14:textId="77777777" w:rsidR="00495A55" w:rsidRPr="00AC7763" w:rsidRDefault="00495A55" w:rsidP="00495A55">
      <w:pPr>
        <w:widowControl w:val="0"/>
        <w:adjustRightInd w:val="0"/>
        <w:ind w:right="-36"/>
        <w:rPr>
          <w:rFonts w:ascii="Arial" w:hAnsi="Arial" w:cs="Arial"/>
          <w:sz w:val="18"/>
          <w:szCs w:val="18"/>
        </w:rPr>
      </w:pPr>
      <w:r w:rsidRPr="00AC7763">
        <w:rPr>
          <w:rFonts w:ascii="Arial" w:hAnsi="Arial" w:cs="Arial"/>
          <w:sz w:val="18"/>
          <w:szCs w:val="18"/>
        </w:rPr>
        <w:t>Sources:</w:t>
      </w:r>
    </w:p>
    <w:p w14:paraId="47C6C06E" w14:textId="16828125" w:rsidR="00495A55" w:rsidRPr="00AC7763" w:rsidRDefault="0036532A" w:rsidP="00495A55">
      <w:pPr>
        <w:pStyle w:val="EndnoteText"/>
        <w:rPr>
          <w:rFonts w:ascii="Arial" w:hAnsi="Arial" w:cs="Arial"/>
          <w:sz w:val="18"/>
          <w:szCs w:val="18"/>
        </w:rPr>
      </w:pPr>
      <w:hyperlink r:id="rId5" w:history="1">
        <w:r w:rsidR="00495A55" w:rsidRPr="00AC7763">
          <w:rPr>
            <w:rStyle w:val="Hyperlink"/>
            <w:rFonts w:ascii="Arial" w:hAnsi="Arial" w:cs="Arial"/>
            <w:sz w:val="18"/>
            <w:szCs w:val="18"/>
          </w:rPr>
          <w:t>https://www.cbsnews.com/news/americans-opinion-poll-on-2021-2022/</w:t>
        </w:r>
      </w:hyperlink>
    </w:p>
    <w:p w14:paraId="2ED12097" w14:textId="15D138F3" w:rsidR="00495A55" w:rsidRDefault="0036532A" w:rsidP="00495A55">
      <w:pPr>
        <w:pStyle w:val="EndnoteText"/>
        <w:rPr>
          <w:rFonts w:ascii="Arial" w:hAnsi="Arial" w:cs="Arial"/>
          <w:sz w:val="18"/>
          <w:szCs w:val="18"/>
        </w:rPr>
      </w:pPr>
      <w:hyperlink r:id="rId6" w:history="1">
        <w:r w:rsidR="00495A55" w:rsidRPr="00C269F7">
          <w:rPr>
            <w:rStyle w:val="Hyperlink"/>
            <w:rFonts w:ascii="Arial" w:hAnsi="Arial" w:cs="Arial"/>
            <w:sz w:val="18"/>
            <w:szCs w:val="18"/>
          </w:rPr>
          <w:t>https://ourworldindata.org/covid-vaccinations</w:t>
        </w:r>
      </w:hyperlink>
    </w:p>
    <w:p w14:paraId="27DC1886" w14:textId="6F33159E" w:rsidR="00495A55" w:rsidRDefault="0036532A" w:rsidP="00495A55">
      <w:pPr>
        <w:pStyle w:val="EndnoteText"/>
        <w:rPr>
          <w:rFonts w:ascii="Arial" w:hAnsi="Arial" w:cs="Arial"/>
          <w:sz w:val="18"/>
          <w:szCs w:val="18"/>
        </w:rPr>
      </w:pPr>
      <w:hyperlink r:id="rId7" w:history="1">
        <w:r w:rsidR="00495A55" w:rsidRPr="00C269F7">
          <w:rPr>
            <w:rStyle w:val="Hyperlink"/>
            <w:rFonts w:ascii="Arial" w:hAnsi="Arial" w:cs="Arial"/>
            <w:sz w:val="18"/>
            <w:szCs w:val="18"/>
          </w:rPr>
          <w:t>https://www.conference-board.org/research/us-forecast</w:t>
        </w:r>
      </w:hyperlink>
    </w:p>
    <w:p w14:paraId="41A59416" w14:textId="45126ED7" w:rsidR="00495A55" w:rsidRPr="00AC7763" w:rsidRDefault="0036532A" w:rsidP="00495A55">
      <w:pPr>
        <w:pStyle w:val="EndnoteText"/>
        <w:rPr>
          <w:rFonts w:ascii="Arial" w:hAnsi="Arial" w:cs="Arial"/>
          <w:sz w:val="18"/>
          <w:szCs w:val="18"/>
        </w:rPr>
      </w:pPr>
      <w:hyperlink r:id="rId8" w:history="1">
        <w:r w:rsidR="00495A55" w:rsidRPr="00C269F7">
          <w:rPr>
            <w:rStyle w:val="Hyperlink"/>
            <w:rFonts w:ascii="Arial" w:hAnsi="Arial" w:cs="Arial"/>
            <w:sz w:val="18"/>
            <w:szCs w:val="18"/>
          </w:rPr>
          <w:t>https://www.barrons.com/articles/stock-market-2021-51640910494?refsec=up-and-down-wall-street</w:t>
        </w:r>
      </w:hyperlink>
      <w:r w:rsidR="00495A55">
        <w:rPr>
          <w:rFonts w:ascii="Arial" w:hAnsi="Arial" w:cs="Arial"/>
          <w:sz w:val="18"/>
          <w:szCs w:val="18"/>
        </w:rPr>
        <w:t xml:space="preserve"> (</w:t>
      </w:r>
      <w:r w:rsidR="00495A55" w:rsidRPr="00AC7763">
        <w:rPr>
          <w:rFonts w:ascii="Arial" w:hAnsi="Arial" w:cs="Arial"/>
          <w:i/>
          <w:iCs/>
          <w:sz w:val="18"/>
          <w:szCs w:val="18"/>
        </w:rPr>
        <w:t xml:space="preserve">or go to </w:t>
      </w:r>
      <w:hyperlink r:id="rId9" w:history="1">
        <w:r w:rsidR="00495A55" w:rsidRPr="00C269F7">
          <w:rPr>
            <w:rStyle w:val="Hyperlink"/>
            <w:rFonts w:ascii="Arial" w:hAnsi="Arial" w:cs="Arial"/>
            <w:sz w:val="18"/>
            <w:szCs w:val="18"/>
          </w:rPr>
          <w:t>https://resources.carsongroup.com/hubfs/WMC-Source/2022/01-03-22_Barrons_The%20Stock%20Market%20Had%20a%20Wonderful%20year.%20Too%20Bad%20No%20One%20Enjoyed%20It_4.pdf</w:t>
        </w:r>
      </w:hyperlink>
      <w:r w:rsidR="00495A55">
        <w:rPr>
          <w:rFonts w:ascii="Arial" w:hAnsi="Arial" w:cs="Arial"/>
          <w:sz w:val="18"/>
          <w:szCs w:val="18"/>
        </w:rPr>
        <w:t xml:space="preserve">) </w:t>
      </w:r>
    </w:p>
    <w:p w14:paraId="082EEDCE" w14:textId="083A711F" w:rsidR="00495A55" w:rsidRPr="00AC7763" w:rsidRDefault="0036532A" w:rsidP="00495A55">
      <w:pPr>
        <w:pStyle w:val="EndnoteText"/>
        <w:rPr>
          <w:rFonts w:ascii="Arial" w:hAnsi="Arial" w:cs="Arial"/>
          <w:sz w:val="18"/>
          <w:szCs w:val="18"/>
        </w:rPr>
      </w:pPr>
      <w:hyperlink r:id="rId10" w:history="1">
        <w:r w:rsidR="00495A55" w:rsidRPr="00AC7763">
          <w:rPr>
            <w:rStyle w:val="Hyperlink"/>
            <w:rFonts w:ascii="Arial" w:hAnsi="Arial" w:cs="Arial"/>
            <w:sz w:val="18"/>
            <w:szCs w:val="18"/>
          </w:rPr>
          <w:t>https://www.barrons.com/articles/us-economy-stock-market-history-51640204442</w:t>
        </w:r>
      </w:hyperlink>
      <w:r w:rsidR="00495A55">
        <w:rPr>
          <w:rStyle w:val="Hyperlink"/>
          <w:rFonts w:ascii="Arial" w:hAnsi="Arial" w:cs="Arial"/>
          <w:color w:val="auto"/>
          <w:sz w:val="18"/>
          <w:szCs w:val="18"/>
          <w:u w:val="none"/>
        </w:rPr>
        <w:t xml:space="preserve"> (</w:t>
      </w:r>
      <w:r w:rsidR="00495A55" w:rsidRPr="00AC7763">
        <w:rPr>
          <w:rStyle w:val="Hyperlink"/>
          <w:rFonts w:ascii="Arial" w:hAnsi="Arial" w:cs="Arial"/>
          <w:i/>
          <w:iCs/>
          <w:color w:val="auto"/>
          <w:sz w:val="18"/>
          <w:szCs w:val="18"/>
          <w:u w:val="none"/>
        </w:rPr>
        <w:t xml:space="preserve">or go to </w:t>
      </w:r>
      <w:hyperlink r:id="rId11" w:history="1">
        <w:r w:rsidR="00495A55" w:rsidRPr="00C269F7">
          <w:rPr>
            <w:rStyle w:val="Hyperlink"/>
            <w:rFonts w:ascii="Arial" w:hAnsi="Arial" w:cs="Arial"/>
            <w:sz w:val="18"/>
            <w:szCs w:val="18"/>
          </w:rPr>
          <w:t>https://resources.carsongroup.com/hubfs/WMC-Source/2022/01-03-22_Barrons_Lesson%20of%20the%20Century%20Dont%20Underestimate%20the%20Resilience%20of%20the%20U.S.%20Economy_5.pdf</w:t>
        </w:r>
      </w:hyperlink>
      <w:r w:rsidR="00495A55">
        <w:rPr>
          <w:rStyle w:val="Hyperlink"/>
          <w:rFonts w:ascii="Arial" w:hAnsi="Arial" w:cs="Arial"/>
          <w:color w:val="auto"/>
          <w:sz w:val="18"/>
          <w:szCs w:val="18"/>
          <w:u w:val="none"/>
        </w:rPr>
        <w:t xml:space="preserve">) </w:t>
      </w:r>
    </w:p>
    <w:p w14:paraId="0B65BB33" w14:textId="177F4302" w:rsidR="00495A55" w:rsidRPr="00AC7763" w:rsidRDefault="0036532A" w:rsidP="00495A55">
      <w:pPr>
        <w:pStyle w:val="EndnoteText"/>
        <w:rPr>
          <w:rFonts w:ascii="Arial" w:hAnsi="Arial" w:cs="Arial"/>
          <w:sz w:val="18"/>
          <w:szCs w:val="18"/>
        </w:rPr>
      </w:pPr>
      <w:hyperlink r:id="rId12" w:history="1">
        <w:r w:rsidR="00495A55" w:rsidRPr="00AC7763">
          <w:rPr>
            <w:rStyle w:val="Hyperlink"/>
            <w:rFonts w:ascii="Arial" w:hAnsi="Arial" w:cs="Arial"/>
            <w:sz w:val="18"/>
            <w:szCs w:val="18"/>
          </w:rPr>
          <w:t>https://www.economist.com/finance-and-economics/2021/12/18/after-a-shocker-in-2021-where-might-inflation-go-in-2022</w:t>
        </w:r>
      </w:hyperlink>
      <w:r w:rsidR="00495A55">
        <w:rPr>
          <w:rStyle w:val="Hyperlink"/>
          <w:rFonts w:ascii="Arial" w:hAnsi="Arial" w:cs="Arial"/>
          <w:color w:val="auto"/>
          <w:sz w:val="18"/>
          <w:szCs w:val="18"/>
          <w:u w:val="none"/>
        </w:rPr>
        <w:t xml:space="preserve"> (</w:t>
      </w:r>
      <w:r w:rsidR="00495A55" w:rsidRPr="00AC7763">
        <w:rPr>
          <w:rStyle w:val="Hyperlink"/>
          <w:rFonts w:ascii="Arial" w:hAnsi="Arial" w:cs="Arial"/>
          <w:i/>
          <w:iCs/>
          <w:color w:val="auto"/>
          <w:sz w:val="18"/>
          <w:szCs w:val="18"/>
          <w:u w:val="none"/>
        </w:rPr>
        <w:t>or go to</w:t>
      </w:r>
      <w:r w:rsidR="00495A55">
        <w:rPr>
          <w:rStyle w:val="Hyperlink"/>
          <w:rFonts w:ascii="Arial" w:hAnsi="Arial" w:cs="Arial"/>
          <w:color w:val="auto"/>
          <w:sz w:val="18"/>
          <w:szCs w:val="18"/>
          <w:u w:val="none"/>
        </w:rPr>
        <w:t xml:space="preserve"> </w:t>
      </w:r>
      <w:hyperlink r:id="rId13" w:history="1">
        <w:r w:rsidR="00495A55" w:rsidRPr="00C269F7">
          <w:rPr>
            <w:rStyle w:val="Hyperlink"/>
            <w:rFonts w:ascii="Arial" w:hAnsi="Arial" w:cs="Arial"/>
            <w:sz w:val="18"/>
            <w:szCs w:val="18"/>
          </w:rPr>
          <w:t>https://resources.carsongroup.com/hubfs/WMC-Source/2022/01-03-22_The%20Economist_After%20a%20Shocker%20in%202021%20Where%20Might%20Inflation%20Go%20in%202022_6.pdf)</w:t>
        </w:r>
      </w:hyperlink>
      <w:r w:rsidR="00495A55">
        <w:rPr>
          <w:rStyle w:val="Hyperlink"/>
          <w:rFonts w:ascii="Arial" w:hAnsi="Arial" w:cs="Arial"/>
          <w:color w:val="auto"/>
          <w:sz w:val="18"/>
          <w:szCs w:val="18"/>
          <w:u w:val="none"/>
        </w:rPr>
        <w:t xml:space="preserve"> </w:t>
      </w:r>
    </w:p>
    <w:p w14:paraId="58CB5251" w14:textId="0A486CB6" w:rsidR="00495A55" w:rsidRDefault="0036532A" w:rsidP="00495A55">
      <w:pPr>
        <w:pStyle w:val="EndnoteText"/>
        <w:rPr>
          <w:rFonts w:ascii="Arial" w:hAnsi="Arial" w:cs="Arial"/>
          <w:sz w:val="18"/>
          <w:szCs w:val="18"/>
        </w:rPr>
      </w:pPr>
      <w:hyperlink r:id="rId14" w:history="1">
        <w:r w:rsidR="00495A55" w:rsidRPr="00C269F7">
          <w:rPr>
            <w:rStyle w:val="Hyperlink"/>
            <w:rFonts w:ascii="Arial" w:hAnsi="Arial" w:cs="Arial"/>
            <w:sz w:val="18"/>
            <w:szCs w:val="18"/>
          </w:rPr>
          <w:t>https://www.federalreserve.gov/newsevents/pressreleases/monetary20211215a.htm</w:t>
        </w:r>
      </w:hyperlink>
    </w:p>
    <w:p w14:paraId="0B21CF83" w14:textId="001A4151" w:rsidR="00495A55" w:rsidRDefault="0036532A" w:rsidP="00495A55">
      <w:pPr>
        <w:pStyle w:val="EndnoteText"/>
        <w:rPr>
          <w:rFonts w:ascii="Arial" w:hAnsi="Arial" w:cs="Arial"/>
          <w:sz w:val="18"/>
          <w:szCs w:val="18"/>
        </w:rPr>
      </w:pPr>
      <w:hyperlink r:id="rId15" w:history="1">
        <w:r w:rsidR="00495A55" w:rsidRPr="00C269F7">
          <w:rPr>
            <w:rStyle w:val="Hyperlink"/>
            <w:rFonts w:ascii="Arial" w:hAnsi="Arial" w:cs="Arial"/>
            <w:sz w:val="18"/>
            <w:szCs w:val="18"/>
          </w:rPr>
          <w:t>https://www.goldmansachs.com/insights/pages/gs-research/inflation-here-today-gone-tomorrow/inflation-here-today-gone-tomorrow.pdf</w:t>
        </w:r>
      </w:hyperlink>
    </w:p>
    <w:p w14:paraId="2B227F27" w14:textId="3DA1B7F0" w:rsidR="00495A55" w:rsidRPr="00AC7763" w:rsidRDefault="0036532A" w:rsidP="00495A55">
      <w:pPr>
        <w:pStyle w:val="EndnoteText"/>
        <w:rPr>
          <w:rFonts w:ascii="Arial" w:hAnsi="Arial" w:cs="Arial"/>
          <w:sz w:val="18"/>
          <w:szCs w:val="18"/>
        </w:rPr>
      </w:pPr>
      <w:hyperlink r:id="rId16" w:history="1">
        <w:r w:rsidR="00495A55" w:rsidRPr="00C269F7">
          <w:rPr>
            <w:rStyle w:val="Hyperlink"/>
            <w:rFonts w:ascii="Arial" w:hAnsi="Arial" w:cs="Arial"/>
            <w:sz w:val="18"/>
            <w:szCs w:val="18"/>
          </w:rPr>
          <w:t>http://www.sca.isr.umich.edu</w:t>
        </w:r>
      </w:hyperlink>
      <w:r w:rsidR="00495A55">
        <w:rPr>
          <w:rFonts w:ascii="Arial" w:hAnsi="Arial" w:cs="Arial"/>
          <w:sz w:val="18"/>
          <w:szCs w:val="18"/>
        </w:rPr>
        <w:t xml:space="preserve"> (</w:t>
      </w:r>
      <w:r w:rsidR="00495A55" w:rsidRPr="00AC7763">
        <w:rPr>
          <w:rFonts w:ascii="Arial" w:hAnsi="Arial" w:cs="Arial"/>
          <w:i/>
          <w:iCs/>
          <w:sz w:val="18"/>
          <w:szCs w:val="18"/>
        </w:rPr>
        <w:t>or go to</w:t>
      </w:r>
      <w:r w:rsidR="00495A55">
        <w:rPr>
          <w:rFonts w:ascii="Arial" w:hAnsi="Arial" w:cs="Arial"/>
          <w:sz w:val="18"/>
          <w:szCs w:val="18"/>
        </w:rPr>
        <w:t xml:space="preserve"> </w:t>
      </w:r>
      <w:hyperlink r:id="rId17" w:history="1">
        <w:r w:rsidR="00495A55" w:rsidRPr="00C269F7">
          <w:rPr>
            <w:rStyle w:val="Hyperlink"/>
            <w:rFonts w:ascii="Arial" w:hAnsi="Arial" w:cs="Arial"/>
            <w:sz w:val="18"/>
            <w:szCs w:val="18"/>
          </w:rPr>
          <w:t>https://resources.carsongroup.com/hubfs/WMC-Source/2022/01-03-22_Survey%20of%20Consumers%20Final%20Results%20for%20December%202021_9.pdf</w:t>
        </w:r>
      </w:hyperlink>
      <w:r w:rsidR="00495A55">
        <w:rPr>
          <w:rFonts w:ascii="Arial" w:hAnsi="Arial" w:cs="Arial"/>
          <w:sz w:val="18"/>
          <w:szCs w:val="18"/>
        </w:rPr>
        <w:t xml:space="preserve">) </w:t>
      </w:r>
    </w:p>
    <w:p w14:paraId="6574B53C" w14:textId="3F9B2330" w:rsidR="00495A55" w:rsidRPr="00AC7763" w:rsidRDefault="0036532A" w:rsidP="00495A55">
      <w:pPr>
        <w:pStyle w:val="EndnoteText"/>
        <w:rPr>
          <w:rFonts w:ascii="Arial" w:hAnsi="Arial" w:cs="Arial"/>
          <w:sz w:val="18"/>
          <w:szCs w:val="18"/>
        </w:rPr>
      </w:pPr>
      <w:hyperlink r:id="rId18" w:history="1">
        <w:r w:rsidR="00495A55" w:rsidRPr="00AC7763">
          <w:rPr>
            <w:rStyle w:val="Hyperlink"/>
            <w:rFonts w:ascii="Arial" w:hAnsi="Arial" w:cs="Arial"/>
            <w:sz w:val="18"/>
            <w:szCs w:val="18"/>
          </w:rPr>
          <w:t>https://www.federalreserve.gov/monetarypolicy/files/fomcprojtabl20211215.pdf</w:t>
        </w:r>
      </w:hyperlink>
    </w:p>
    <w:p w14:paraId="4959B63B" w14:textId="242B30AA" w:rsidR="00495A55" w:rsidRDefault="0036532A" w:rsidP="00495A55">
      <w:pPr>
        <w:pStyle w:val="EndnoteText"/>
        <w:rPr>
          <w:rFonts w:ascii="Arial" w:hAnsi="Arial" w:cs="Arial"/>
          <w:sz w:val="18"/>
          <w:szCs w:val="18"/>
        </w:rPr>
      </w:pPr>
      <w:hyperlink r:id="rId19" w:history="1">
        <w:r w:rsidR="00495A55" w:rsidRPr="00C269F7">
          <w:rPr>
            <w:rStyle w:val="Hyperlink"/>
            <w:rFonts w:ascii="Arial" w:hAnsi="Arial" w:cs="Arial"/>
            <w:sz w:val="18"/>
            <w:szCs w:val="18"/>
          </w:rPr>
          <w:t>https://www.reuters.com/markets/europe/wall-street-ends-tumultuous-year-near-record-highs-2021-12-31/</w:t>
        </w:r>
      </w:hyperlink>
    </w:p>
    <w:p w14:paraId="11B0E3CE" w14:textId="5FE9B755" w:rsidR="00495A55" w:rsidRPr="00AC7763" w:rsidRDefault="0036532A" w:rsidP="00495A55">
      <w:pPr>
        <w:pStyle w:val="EndnoteText"/>
        <w:rPr>
          <w:rFonts w:ascii="Arial" w:hAnsi="Arial" w:cs="Arial"/>
          <w:sz w:val="18"/>
          <w:szCs w:val="18"/>
        </w:rPr>
      </w:pPr>
      <w:hyperlink r:id="rId20" w:history="1">
        <w:r w:rsidR="00495A55" w:rsidRPr="00C269F7">
          <w:rPr>
            <w:rStyle w:val="Hyperlink"/>
            <w:rFonts w:ascii="Arial" w:hAnsi="Arial" w:cs="Arial"/>
            <w:sz w:val="18"/>
            <w:szCs w:val="18"/>
          </w:rPr>
          <w:t>https://www.factset.com/hubfs/Website/Resources%20Section/Research%20Desk/Earnings%20Insight/EarningsInsight_121721A.pdf</w:t>
        </w:r>
      </w:hyperlink>
      <w:r w:rsidR="00495A55">
        <w:rPr>
          <w:rFonts w:ascii="Arial" w:hAnsi="Arial" w:cs="Arial"/>
          <w:sz w:val="18"/>
          <w:szCs w:val="18"/>
        </w:rPr>
        <w:t xml:space="preserve"> (</w:t>
      </w:r>
      <w:r w:rsidR="00495A55" w:rsidRPr="00AC7763">
        <w:rPr>
          <w:rFonts w:ascii="Arial" w:hAnsi="Arial" w:cs="Arial"/>
          <w:i/>
          <w:iCs/>
          <w:sz w:val="18"/>
          <w:szCs w:val="18"/>
        </w:rPr>
        <w:t>or go to</w:t>
      </w:r>
      <w:r w:rsidR="00495A55">
        <w:rPr>
          <w:rFonts w:ascii="Arial" w:hAnsi="Arial" w:cs="Arial"/>
          <w:sz w:val="18"/>
          <w:szCs w:val="18"/>
        </w:rPr>
        <w:t xml:space="preserve"> </w:t>
      </w:r>
      <w:hyperlink r:id="rId21" w:history="1">
        <w:r w:rsidR="00495A55" w:rsidRPr="00C269F7">
          <w:rPr>
            <w:rStyle w:val="Hyperlink"/>
            <w:rFonts w:ascii="Arial" w:hAnsi="Arial" w:cs="Arial"/>
            <w:sz w:val="18"/>
            <w:szCs w:val="18"/>
          </w:rPr>
          <w:t>https://resources.carsongroup.com/hubfs/WMC-Source/2022/01-03-22_The%20Economist_Xi%20Jinpings%20Crackdown%20on%20Chinese%20Tech%20Firms%20Will%20Continue_13.pdf</w:t>
        </w:r>
      </w:hyperlink>
      <w:r w:rsidR="00495A55">
        <w:rPr>
          <w:rFonts w:ascii="Arial" w:hAnsi="Arial" w:cs="Arial"/>
          <w:sz w:val="18"/>
          <w:szCs w:val="18"/>
        </w:rPr>
        <w:t xml:space="preserve">) </w:t>
      </w:r>
    </w:p>
    <w:p w14:paraId="4A201EAA" w14:textId="4BD906E1" w:rsidR="00495A55" w:rsidRDefault="0036532A" w:rsidP="00495A55">
      <w:pPr>
        <w:pStyle w:val="EndnoteText"/>
        <w:rPr>
          <w:rFonts w:ascii="Arial" w:hAnsi="Arial" w:cs="Arial"/>
          <w:sz w:val="18"/>
          <w:szCs w:val="18"/>
        </w:rPr>
      </w:pPr>
      <w:hyperlink r:id="rId22" w:history="1">
        <w:r w:rsidR="00495A55" w:rsidRPr="00C269F7">
          <w:rPr>
            <w:rStyle w:val="Hyperlink"/>
            <w:rFonts w:ascii="Arial" w:hAnsi="Arial" w:cs="Arial"/>
            <w:sz w:val="18"/>
            <w:szCs w:val="18"/>
          </w:rPr>
          <w:t>https://www.economist.com/the-world-ahead/2021/11/08/xi-jinpings-crackdown-on-chinese-tech-firms-will-continue</w:t>
        </w:r>
      </w:hyperlink>
    </w:p>
    <w:p w14:paraId="4D454EE0" w14:textId="26E8CBA3" w:rsidR="00495A55" w:rsidRPr="00AC7763" w:rsidRDefault="0036532A" w:rsidP="00495A55">
      <w:pPr>
        <w:pStyle w:val="EndnoteText"/>
        <w:rPr>
          <w:rFonts w:ascii="Arial" w:hAnsi="Arial" w:cs="Arial"/>
          <w:sz w:val="18"/>
          <w:szCs w:val="18"/>
        </w:rPr>
      </w:pPr>
      <w:hyperlink r:id="rId23" w:history="1">
        <w:r w:rsidR="00495A55" w:rsidRPr="00C269F7">
          <w:rPr>
            <w:rStyle w:val="Hyperlink"/>
            <w:rFonts w:ascii="Arial" w:hAnsi="Arial" w:cs="Arial"/>
            <w:sz w:val="18"/>
            <w:szCs w:val="18"/>
          </w:rPr>
          <w:t>https://www.bloomberg.com/news/articles/2021-12-26/global-bond-winners-for-2021-all-came-from-emerging-markets</w:t>
        </w:r>
      </w:hyperlink>
      <w:r w:rsidR="00495A55">
        <w:rPr>
          <w:rFonts w:ascii="Arial" w:hAnsi="Arial" w:cs="Arial"/>
          <w:sz w:val="18"/>
          <w:szCs w:val="18"/>
        </w:rPr>
        <w:t xml:space="preserve"> (</w:t>
      </w:r>
      <w:r w:rsidR="00495A55" w:rsidRPr="00AC7763">
        <w:rPr>
          <w:rFonts w:ascii="Arial" w:hAnsi="Arial" w:cs="Arial"/>
          <w:i/>
          <w:iCs/>
          <w:sz w:val="18"/>
          <w:szCs w:val="18"/>
        </w:rPr>
        <w:t>or go to</w:t>
      </w:r>
      <w:r w:rsidR="00495A55">
        <w:rPr>
          <w:rFonts w:ascii="Arial" w:hAnsi="Arial" w:cs="Arial"/>
          <w:sz w:val="18"/>
          <w:szCs w:val="18"/>
        </w:rPr>
        <w:t xml:space="preserve"> </w:t>
      </w:r>
      <w:hyperlink r:id="rId24" w:history="1">
        <w:r w:rsidR="00495A55" w:rsidRPr="00C269F7">
          <w:rPr>
            <w:rStyle w:val="Hyperlink"/>
            <w:rFonts w:ascii="Arial" w:hAnsi="Arial" w:cs="Arial"/>
            <w:sz w:val="18"/>
            <w:szCs w:val="18"/>
          </w:rPr>
          <w:t>https://resources.carsongroup.com/hubfs/WMC-Source/2022/01-03-22_Bloomberg_Global%20Bond%20Winners%20for%202021%20All%20Came%20from%20Emerging%20Markets_14.pdf</w:t>
        </w:r>
      </w:hyperlink>
      <w:r w:rsidR="00495A55">
        <w:rPr>
          <w:rFonts w:ascii="Arial" w:hAnsi="Arial" w:cs="Arial"/>
          <w:sz w:val="18"/>
          <w:szCs w:val="18"/>
        </w:rPr>
        <w:t xml:space="preserve">) </w:t>
      </w:r>
    </w:p>
    <w:p w14:paraId="76EFCF86" w14:textId="5D307441" w:rsidR="00495A55" w:rsidRPr="00AC7763" w:rsidRDefault="0036532A" w:rsidP="00495A55">
      <w:pPr>
        <w:pStyle w:val="EndnoteText"/>
        <w:rPr>
          <w:rFonts w:ascii="Arial" w:hAnsi="Arial" w:cs="Arial"/>
          <w:sz w:val="18"/>
          <w:szCs w:val="18"/>
        </w:rPr>
      </w:pPr>
      <w:hyperlink r:id="rId25" w:history="1">
        <w:r w:rsidR="00495A55" w:rsidRPr="00C269F7">
          <w:rPr>
            <w:rStyle w:val="Hyperlink"/>
            <w:rFonts w:ascii="Arial" w:hAnsi="Arial" w:cs="Arial"/>
            <w:sz w:val="18"/>
            <w:szCs w:val="18"/>
          </w:rPr>
          <w:t>https://www.economist.com/christmas-specials/2021/12/18/fashion-as-an-asset-class</w:t>
        </w:r>
      </w:hyperlink>
      <w:r w:rsidR="00495A55">
        <w:rPr>
          <w:rFonts w:ascii="Arial" w:hAnsi="Arial" w:cs="Arial"/>
          <w:sz w:val="18"/>
          <w:szCs w:val="18"/>
        </w:rPr>
        <w:t xml:space="preserve"> (</w:t>
      </w:r>
      <w:r w:rsidR="00495A55" w:rsidRPr="00AC7763">
        <w:rPr>
          <w:rFonts w:ascii="Arial" w:hAnsi="Arial" w:cs="Arial"/>
          <w:i/>
          <w:iCs/>
          <w:sz w:val="18"/>
          <w:szCs w:val="18"/>
        </w:rPr>
        <w:t xml:space="preserve">or go to </w:t>
      </w:r>
      <w:hyperlink r:id="rId26" w:history="1">
        <w:r w:rsidR="00495A55" w:rsidRPr="00C269F7">
          <w:rPr>
            <w:rStyle w:val="Hyperlink"/>
            <w:rFonts w:ascii="Arial" w:hAnsi="Arial" w:cs="Arial"/>
            <w:sz w:val="18"/>
            <w:szCs w:val="18"/>
          </w:rPr>
          <w:t>https://resources.carsongroup.com/hubfs/WMC-Source/2022/01-03-22_The%20Economist_Fashion%20as%20an%20Asset%20Class_15.pdf</w:t>
        </w:r>
      </w:hyperlink>
      <w:r w:rsidR="00495A55">
        <w:rPr>
          <w:rFonts w:ascii="Arial" w:hAnsi="Arial" w:cs="Arial"/>
          <w:sz w:val="18"/>
          <w:szCs w:val="18"/>
        </w:rPr>
        <w:t xml:space="preserve">) </w:t>
      </w:r>
    </w:p>
    <w:p w14:paraId="68F933F3" w14:textId="7B7546F7" w:rsidR="00495A55" w:rsidRPr="00AC7763" w:rsidRDefault="0036532A" w:rsidP="00495A55">
      <w:pPr>
        <w:pStyle w:val="EndnoteText"/>
        <w:rPr>
          <w:rFonts w:ascii="Arial" w:hAnsi="Arial" w:cs="Arial"/>
          <w:sz w:val="18"/>
          <w:szCs w:val="18"/>
        </w:rPr>
      </w:pPr>
      <w:hyperlink r:id="rId27" w:anchor="size-and-impact" w:history="1">
        <w:r w:rsidR="00495A55" w:rsidRPr="00C269F7">
          <w:rPr>
            <w:rStyle w:val="Hyperlink"/>
            <w:rFonts w:ascii="Arial" w:hAnsi="Arial" w:cs="Arial"/>
            <w:sz w:val="18"/>
            <w:szCs w:val="18"/>
          </w:rPr>
          <w:t>https://www.thredup.com/resale/#size-and-impact</w:t>
        </w:r>
      </w:hyperlink>
      <w:r w:rsidR="00495A55">
        <w:rPr>
          <w:rFonts w:ascii="Arial" w:hAnsi="Arial" w:cs="Arial"/>
          <w:sz w:val="18"/>
          <w:szCs w:val="18"/>
        </w:rPr>
        <w:t xml:space="preserve"> </w:t>
      </w:r>
    </w:p>
    <w:p w14:paraId="3B4ADD40" w14:textId="4216B046" w:rsidR="00495A55" w:rsidRPr="00623D34" w:rsidRDefault="0036532A" w:rsidP="00495A55">
      <w:pPr>
        <w:pStyle w:val="EndnoteText"/>
        <w:rPr>
          <w:rStyle w:val="Hyperlink"/>
          <w:rFonts w:ascii="Arial" w:hAnsi="Arial" w:cs="Arial"/>
          <w:color w:val="auto"/>
          <w:sz w:val="18"/>
          <w:szCs w:val="18"/>
          <w:u w:val="none"/>
        </w:rPr>
      </w:pPr>
      <w:hyperlink r:id="rId28" w:history="1">
        <w:r w:rsidR="00495A55" w:rsidRPr="00C269F7">
          <w:rPr>
            <w:rStyle w:val="Hyperlink"/>
            <w:rFonts w:ascii="Arial" w:hAnsi="Arial" w:cs="Arial"/>
            <w:sz w:val="18"/>
            <w:szCs w:val="18"/>
          </w:rPr>
          <w:t>https://www.goodreads.com/quotes/tag/new-year</w:t>
        </w:r>
      </w:hyperlink>
      <w:r w:rsidR="00495A55">
        <w:rPr>
          <w:rFonts w:ascii="Arial" w:hAnsi="Arial" w:cs="Arial"/>
          <w:sz w:val="18"/>
          <w:szCs w:val="18"/>
        </w:rPr>
        <w:t xml:space="preserve"> </w:t>
      </w:r>
    </w:p>
    <w:p w14:paraId="259F7428" w14:textId="77777777" w:rsidR="00863328" w:rsidRPr="00863328" w:rsidRDefault="00863328" w:rsidP="00863328">
      <w:pPr>
        <w:widowControl w:val="0"/>
        <w:adjustRightInd w:val="0"/>
        <w:spacing w:after="160" w:line="259" w:lineRule="auto"/>
        <w:ind w:right="-36"/>
        <w:contextualSpacing/>
        <w:rPr>
          <w:rFonts w:ascii="Arial" w:hAnsi="Arial" w:cs="Arial"/>
          <w:sz w:val="18"/>
          <w:szCs w:val="18"/>
        </w:rPr>
      </w:pPr>
    </w:p>
    <w:p w14:paraId="09FD2B29" w14:textId="77777777" w:rsidR="00C600A2" w:rsidRPr="00C436CA" w:rsidRDefault="00C600A2" w:rsidP="00C600A2">
      <w:pPr>
        <w:rPr>
          <w:rStyle w:val="Hyperlink"/>
          <w:rFonts w:ascii="Arial" w:hAnsi="Arial" w:cs="Arial"/>
          <w:color w:val="auto"/>
          <w:sz w:val="18"/>
          <w:szCs w:val="18"/>
          <w:u w:val="none"/>
        </w:rPr>
      </w:pPr>
    </w:p>
    <w:p w14:paraId="66C2295B" w14:textId="35F8E78D" w:rsidR="00441CE6" w:rsidRPr="0056229A" w:rsidRDefault="00441CE6" w:rsidP="00C600A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D7B"/>
    <w:multiLevelType w:val="hybridMultilevel"/>
    <w:tmpl w:val="809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67EDE"/>
    <w:multiLevelType w:val="hybridMultilevel"/>
    <w:tmpl w:val="3A3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28"/>
  </w:num>
  <w:num w:numId="5">
    <w:abstractNumId w:val="29"/>
  </w:num>
  <w:num w:numId="6">
    <w:abstractNumId w:val="17"/>
  </w:num>
  <w:num w:numId="7">
    <w:abstractNumId w:val="12"/>
  </w:num>
  <w:num w:numId="8">
    <w:abstractNumId w:val="19"/>
  </w:num>
  <w:num w:numId="9">
    <w:abstractNumId w:val="7"/>
  </w:num>
  <w:num w:numId="10">
    <w:abstractNumId w:val="9"/>
  </w:num>
  <w:num w:numId="11">
    <w:abstractNumId w:val="42"/>
  </w:num>
  <w:num w:numId="12">
    <w:abstractNumId w:val="38"/>
  </w:num>
  <w:num w:numId="13">
    <w:abstractNumId w:val="10"/>
  </w:num>
  <w:num w:numId="14">
    <w:abstractNumId w:val="36"/>
  </w:num>
  <w:num w:numId="15">
    <w:abstractNumId w:val="43"/>
  </w:num>
  <w:num w:numId="16">
    <w:abstractNumId w:val="32"/>
  </w:num>
  <w:num w:numId="17">
    <w:abstractNumId w:val="22"/>
  </w:num>
  <w:num w:numId="18">
    <w:abstractNumId w:val="0"/>
  </w:num>
  <w:num w:numId="19">
    <w:abstractNumId w:val="11"/>
  </w:num>
  <w:num w:numId="20">
    <w:abstractNumId w:val="41"/>
  </w:num>
  <w:num w:numId="21">
    <w:abstractNumId w:val="15"/>
  </w:num>
  <w:num w:numId="22">
    <w:abstractNumId w:val="4"/>
  </w:num>
  <w:num w:numId="23">
    <w:abstractNumId w:val="34"/>
  </w:num>
  <w:num w:numId="24">
    <w:abstractNumId w:val="26"/>
  </w:num>
  <w:num w:numId="25">
    <w:abstractNumId w:val="33"/>
  </w:num>
  <w:num w:numId="26">
    <w:abstractNumId w:val="31"/>
  </w:num>
  <w:num w:numId="27">
    <w:abstractNumId w:val="35"/>
  </w:num>
  <w:num w:numId="28">
    <w:abstractNumId w:val="40"/>
  </w:num>
  <w:num w:numId="29">
    <w:abstractNumId w:val="13"/>
  </w:num>
  <w:num w:numId="30">
    <w:abstractNumId w:val="24"/>
  </w:num>
  <w:num w:numId="31">
    <w:abstractNumId w:val="18"/>
  </w:num>
  <w:num w:numId="32">
    <w:abstractNumId w:val="23"/>
  </w:num>
  <w:num w:numId="33">
    <w:abstractNumId w:val="21"/>
  </w:num>
  <w:num w:numId="34">
    <w:abstractNumId w:val="27"/>
  </w:num>
  <w:num w:numId="35">
    <w:abstractNumId w:val="30"/>
  </w:num>
  <w:num w:numId="36">
    <w:abstractNumId w:val="20"/>
  </w:num>
  <w:num w:numId="37">
    <w:abstractNumId w:val="25"/>
  </w:num>
  <w:num w:numId="38">
    <w:abstractNumId w:val="14"/>
  </w:num>
  <w:num w:numId="39">
    <w:abstractNumId w:val="37"/>
  </w:num>
  <w:num w:numId="40">
    <w:abstractNumId w:val="8"/>
  </w:num>
  <w:num w:numId="41">
    <w:abstractNumId w:val="6"/>
  </w:num>
  <w:num w:numId="42">
    <w:abstractNumId w:val="16"/>
  </w:num>
  <w:num w:numId="43">
    <w:abstractNumId w:val="3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52DC"/>
    <w:rsid w:val="002C62D1"/>
    <w:rsid w:val="002D715B"/>
    <w:rsid w:val="002D7EFF"/>
    <w:rsid w:val="002E27ED"/>
    <w:rsid w:val="002E5E35"/>
    <w:rsid w:val="002E658A"/>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532A"/>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22CC"/>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3653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1867587">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tock-market-2021-51640910494?refsec=up-and-down-wall-street" TargetMode="External"/><Relationship Id="rId13" Type="http://schemas.openxmlformats.org/officeDocument/2006/relationships/hyperlink" Target="https://resources.carsongroup.com/hubfs/WMC-Source/2022/01-03-22_The%20Economist_After%20a%20Shocker%20in%202021%20Where%20Might%20Inflation%20Go%20in%202022_6.pdf)" TargetMode="External"/><Relationship Id="rId18" Type="http://schemas.openxmlformats.org/officeDocument/2006/relationships/hyperlink" Target="https://www.federalreserve.gov/monetarypolicy/files/fomcprojtabl20211215.pdf" TargetMode="External"/><Relationship Id="rId26" Type="http://schemas.openxmlformats.org/officeDocument/2006/relationships/hyperlink" Target="https://resources.carsongroup.com/hubfs/WMC-Source/2022/01-03-22_The%20Economist_Fashion%20as%20an%20Asset%20Class_15.pdf" TargetMode="External"/><Relationship Id="rId3" Type="http://schemas.openxmlformats.org/officeDocument/2006/relationships/settings" Target="settings.xml"/><Relationship Id="rId21" Type="http://schemas.openxmlformats.org/officeDocument/2006/relationships/hyperlink" Target="https://resources.carsongroup.com/hubfs/WMC-Source/2022/01-03-22_The%20Economist_Xi%20Jinpings%20Crackdown%20on%20Chinese%20Tech%20Firms%20Will%20Continue_13.pdf" TargetMode="External"/><Relationship Id="rId7" Type="http://schemas.openxmlformats.org/officeDocument/2006/relationships/hyperlink" Target="https://www.conference-board.org/research/us-forecast" TargetMode="External"/><Relationship Id="rId12" Type="http://schemas.openxmlformats.org/officeDocument/2006/relationships/hyperlink" Target="https://www.economist.com/finance-and-economics/2021/12/18/after-a-shocker-in-2021-where-might-inflation-go-in-2022" TargetMode="External"/><Relationship Id="rId17" Type="http://schemas.openxmlformats.org/officeDocument/2006/relationships/hyperlink" Target="https://resources.carsongroup.com/hubfs/WMC-Source/2022/01-03-22_Survey%20of%20Consumers%20Final%20Results%20for%20December%202021_9.pdf" TargetMode="External"/><Relationship Id="rId25" Type="http://schemas.openxmlformats.org/officeDocument/2006/relationships/hyperlink" Target="https://www.economist.com/christmas-specials/2021/12/18/fashion-as-an-asset-class" TargetMode="External"/><Relationship Id="rId2" Type="http://schemas.openxmlformats.org/officeDocument/2006/relationships/styles" Target="styles.xml"/><Relationship Id="rId16" Type="http://schemas.openxmlformats.org/officeDocument/2006/relationships/hyperlink" Target="http://www.sca.isr.umich.edu" TargetMode="External"/><Relationship Id="rId20" Type="http://schemas.openxmlformats.org/officeDocument/2006/relationships/hyperlink" Target="https://www.factset.com/hubfs/Website/Resources%20Section/Research%20Desk/Earnings%20Insight/EarningsInsight_121721A.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urworldindata.org/covid-vaccinations" TargetMode="External"/><Relationship Id="rId11" Type="http://schemas.openxmlformats.org/officeDocument/2006/relationships/hyperlink" Target="https://resources.carsongroup.com/hubfs/WMC-Source/2022/01-03-22_Barrons_Lesson%20of%20the%20Century%20Dont%20Underestimate%20the%20Resilience%20of%20the%20U.S.%20Economy_5.pdf" TargetMode="External"/><Relationship Id="rId24" Type="http://schemas.openxmlformats.org/officeDocument/2006/relationships/hyperlink" Target="https://resources.carsongroup.com/hubfs/WMC-Source/2022/01-03-22_Bloomberg_Global%20Bond%20Winners%20for%202021%20All%20Came%20from%20Emerging%20Markets_14.pdf" TargetMode="External"/><Relationship Id="rId5" Type="http://schemas.openxmlformats.org/officeDocument/2006/relationships/hyperlink" Target="https://www.cbsnews.com/news/americans-opinion-poll-on-2021-2022/" TargetMode="External"/><Relationship Id="rId15" Type="http://schemas.openxmlformats.org/officeDocument/2006/relationships/hyperlink" Target="https://www.goldmansachs.com/insights/pages/gs-research/inflation-here-today-gone-tomorrow/inflation-here-today-gone-tomorrow.pdf" TargetMode="External"/><Relationship Id="rId23" Type="http://schemas.openxmlformats.org/officeDocument/2006/relationships/hyperlink" Target="https://www.bloomberg.com/news/articles/2021-12-26/global-bond-winners-for-2021-all-came-from-emerging-markets" TargetMode="External"/><Relationship Id="rId28" Type="http://schemas.openxmlformats.org/officeDocument/2006/relationships/hyperlink" Target="https://www.goodreads.com/quotes/tag/new-year" TargetMode="External"/><Relationship Id="rId10" Type="http://schemas.openxmlformats.org/officeDocument/2006/relationships/hyperlink" Target="https://www.barrons.com/articles/us-economy-stock-market-history-51640204442" TargetMode="External"/><Relationship Id="rId19" Type="http://schemas.openxmlformats.org/officeDocument/2006/relationships/hyperlink" Target="https://www.reuters.com/markets/europe/wall-street-ends-tumultuous-year-near-record-highs-2021-12-31/" TargetMode="External"/><Relationship Id="rId4" Type="http://schemas.openxmlformats.org/officeDocument/2006/relationships/webSettings" Target="webSettings.xml"/><Relationship Id="rId9" Type="http://schemas.openxmlformats.org/officeDocument/2006/relationships/hyperlink" Target="https://resources.carsongroup.com/hubfs/WMC-Source/2022/01-03-22_Barrons_The%20Stock%20Market%20Had%20a%20Wonderful%20year.%20Too%20Bad%20No%20One%20Enjoyed%20It_4.pdf" TargetMode="External"/><Relationship Id="rId14" Type="http://schemas.openxmlformats.org/officeDocument/2006/relationships/hyperlink" Target="https://www.federalreserve.gov/newsevents/pressreleases/monetary20211215a.htm" TargetMode="External"/><Relationship Id="rId22" Type="http://schemas.openxmlformats.org/officeDocument/2006/relationships/hyperlink" Target="https://www.economist.com/the-world-ahead/2021/11/08/xi-jinpings-crackdown-on-chinese-tech-firms-will-continue" TargetMode="External"/><Relationship Id="rId27" Type="http://schemas.openxmlformats.org/officeDocument/2006/relationships/hyperlink" Target="https://www.thredup.com/resal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2022-01-04T16:45:00Z</dcterms:created>
  <dcterms:modified xsi:type="dcterms:W3CDTF">2022-01-04T16:45:00Z</dcterms:modified>
</cp:coreProperties>
</file>