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827138" w:rsidRDefault="00EC6B27" w:rsidP="003764F4">
      <w:pPr>
        <w:tabs>
          <w:tab w:val="left" w:pos="8550"/>
        </w:tabs>
        <w:jc w:val="center"/>
        <w:rPr>
          <w:b/>
          <w:bCs/>
          <w:color w:val="35DB3F"/>
          <w:sz w:val="32"/>
          <w:szCs w:val="32"/>
        </w:rPr>
      </w:pPr>
      <w:r w:rsidRPr="00827138">
        <w:rPr>
          <w:b/>
          <w:bCs/>
          <w:color w:val="35DB3F"/>
          <w:sz w:val="32"/>
          <w:szCs w:val="32"/>
        </w:rPr>
        <w:t xml:space="preserve">Weekly </w:t>
      </w:r>
      <w:r w:rsidR="000F6D15" w:rsidRPr="00827138">
        <w:rPr>
          <w:b/>
          <w:bCs/>
          <w:color w:val="35DB3F"/>
          <w:sz w:val="32"/>
          <w:szCs w:val="32"/>
        </w:rPr>
        <w:t>Market</w:t>
      </w:r>
      <w:r w:rsidR="005B7A1C" w:rsidRPr="00827138">
        <w:rPr>
          <w:b/>
          <w:bCs/>
          <w:color w:val="35DB3F"/>
          <w:sz w:val="32"/>
          <w:szCs w:val="32"/>
        </w:rPr>
        <w:t xml:space="preserve"> </w:t>
      </w:r>
      <w:r w:rsidR="00827069" w:rsidRPr="00827138">
        <w:rPr>
          <w:b/>
          <w:bCs/>
          <w:color w:val="35DB3F"/>
          <w:sz w:val="32"/>
          <w:szCs w:val="32"/>
        </w:rPr>
        <w:t>Commentary</w:t>
      </w:r>
    </w:p>
    <w:p w14:paraId="6890971C" w14:textId="63DCB410" w:rsidR="00827069" w:rsidRPr="00827138" w:rsidRDefault="00810963" w:rsidP="003764F4">
      <w:pPr>
        <w:tabs>
          <w:tab w:val="left" w:pos="8550"/>
        </w:tabs>
        <w:jc w:val="center"/>
        <w:rPr>
          <w:b/>
          <w:bCs/>
          <w:color w:val="35DB3F"/>
          <w:sz w:val="32"/>
          <w:szCs w:val="32"/>
        </w:rPr>
      </w:pPr>
      <w:r w:rsidRPr="00827138">
        <w:rPr>
          <w:b/>
          <w:bCs/>
          <w:color w:val="35DB3F"/>
          <w:sz w:val="32"/>
          <w:szCs w:val="32"/>
        </w:rPr>
        <w:t xml:space="preserve">December </w:t>
      </w:r>
      <w:r w:rsidR="00447747" w:rsidRPr="00827138">
        <w:rPr>
          <w:b/>
          <w:bCs/>
          <w:color w:val="35DB3F"/>
          <w:sz w:val="32"/>
          <w:szCs w:val="32"/>
        </w:rPr>
        <w:t>23</w:t>
      </w:r>
      <w:r w:rsidR="00CC7230" w:rsidRPr="00827138">
        <w:rPr>
          <w:b/>
          <w:bCs/>
          <w:color w:val="35DB3F"/>
          <w:sz w:val="32"/>
          <w:szCs w:val="32"/>
        </w:rPr>
        <w:t>, 2019</w:t>
      </w:r>
    </w:p>
    <w:p w14:paraId="0E020AD4" w14:textId="3BB2E5E7" w:rsidR="00893C7B" w:rsidRPr="00827138" w:rsidRDefault="00893C7B" w:rsidP="003764F4">
      <w:pPr>
        <w:tabs>
          <w:tab w:val="left" w:pos="8550"/>
        </w:tabs>
        <w:jc w:val="center"/>
        <w:rPr>
          <w:b/>
          <w:bCs/>
          <w:color w:val="639D3F"/>
          <w:sz w:val="32"/>
          <w:szCs w:val="32"/>
        </w:rPr>
      </w:pPr>
    </w:p>
    <w:p w14:paraId="60492556" w14:textId="65DCD0C8" w:rsidR="00894418" w:rsidRPr="00827138" w:rsidRDefault="009E284D" w:rsidP="003764F4">
      <w:pPr>
        <w:tabs>
          <w:tab w:val="left" w:pos="8550"/>
        </w:tabs>
        <w:autoSpaceDE/>
        <w:autoSpaceDN/>
        <w:rPr>
          <w:b/>
          <w:bCs/>
          <w:color w:val="35DB3F"/>
          <w:sz w:val="28"/>
          <w:szCs w:val="28"/>
        </w:rPr>
      </w:pPr>
      <w:r w:rsidRPr="00827138">
        <w:rPr>
          <w:b/>
          <w:bCs/>
          <w:color w:val="35DB3F"/>
          <w:sz w:val="28"/>
          <w:szCs w:val="28"/>
        </w:rPr>
        <w:t>The Markets</w:t>
      </w:r>
      <w:r w:rsidR="00DB3763" w:rsidRPr="00827138">
        <w:rPr>
          <w:bCs/>
          <w:color w:val="35DB3F"/>
        </w:rPr>
        <w:t xml:space="preserve"> </w:t>
      </w:r>
    </w:p>
    <w:p w14:paraId="2E9B22F9" w14:textId="111B451C" w:rsidR="00D33910" w:rsidRPr="00827138" w:rsidRDefault="00D33910" w:rsidP="003764F4">
      <w:pPr>
        <w:rPr>
          <w:sz w:val="24"/>
          <w:szCs w:val="24"/>
        </w:rPr>
      </w:pPr>
    </w:p>
    <w:p w14:paraId="04B14B97" w14:textId="219B9A82" w:rsidR="00C10CF1" w:rsidRPr="00827138" w:rsidRDefault="00C10CF1" w:rsidP="003764F4">
      <w:pPr>
        <w:rPr>
          <w:sz w:val="24"/>
          <w:szCs w:val="24"/>
        </w:rPr>
      </w:pPr>
      <w:r w:rsidRPr="00827138">
        <w:rPr>
          <w:sz w:val="24"/>
          <w:szCs w:val="24"/>
        </w:rPr>
        <w:t xml:space="preserve">Let’s hear it for </w:t>
      </w:r>
      <w:r w:rsidR="00B931CE" w:rsidRPr="00827138">
        <w:rPr>
          <w:sz w:val="24"/>
          <w:szCs w:val="24"/>
        </w:rPr>
        <w:t>2019!</w:t>
      </w:r>
      <w:r w:rsidR="004063EF" w:rsidRPr="00827138">
        <w:rPr>
          <w:sz w:val="24"/>
          <w:szCs w:val="24"/>
        </w:rPr>
        <w:t xml:space="preserve"> </w:t>
      </w:r>
    </w:p>
    <w:p w14:paraId="3D647C47" w14:textId="77777777" w:rsidR="00C10CF1" w:rsidRPr="00827138" w:rsidRDefault="00C10CF1" w:rsidP="003764F4">
      <w:pPr>
        <w:rPr>
          <w:sz w:val="24"/>
          <w:szCs w:val="24"/>
        </w:rPr>
      </w:pPr>
    </w:p>
    <w:p w14:paraId="5D2B8785" w14:textId="47B09183" w:rsidR="00AD3671" w:rsidRPr="00827138" w:rsidRDefault="004063EF" w:rsidP="003764F4">
      <w:pPr>
        <w:rPr>
          <w:sz w:val="24"/>
          <w:szCs w:val="24"/>
        </w:rPr>
      </w:pPr>
      <w:r w:rsidRPr="00827138">
        <w:rPr>
          <w:sz w:val="24"/>
          <w:szCs w:val="24"/>
        </w:rPr>
        <w:t>M</w:t>
      </w:r>
      <w:r w:rsidR="00D66C0E" w:rsidRPr="00827138">
        <w:rPr>
          <w:sz w:val="24"/>
          <w:szCs w:val="24"/>
        </w:rPr>
        <w:t>ajor stock indices in the United States and overseas are poised to deliver double-digit gains</w:t>
      </w:r>
      <w:r w:rsidR="0054225E" w:rsidRPr="00827138">
        <w:rPr>
          <w:sz w:val="24"/>
          <w:szCs w:val="24"/>
        </w:rPr>
        <w:t xml:space="preserve"> for the year</w:t>
      </w:r>
      <w:r w:rsidR="00D66C0E" w:rsidRPr="00827138">
        <w:rPr>
          <w:sz w:val="24"/>
          <w:szCs w:val="24"/>
        </w:rPr>
        <w:t xml:space="preserve">. Even with uncertainty about Britain’s exit from the European Union (EU), the </w:t>
      </w:r>
      <w:r w:rsidR="00D66C0E" w:rsidRPr="0099115C">
        <w:rPr>
          <w:i/>
          <w:sz w:val="24"/>
          <w:szCs w:val="24"/>
        </w:rPr>
        <w:t>FTSE 100</w:t>
      </w:r>
      <w:r w:rsidR="00D66C0E" w:rsidRPr="00827138">
        <w:rPr>
          <w:sz w:val="24"/>
          <w:szCs w:val="24"/>
        </w:rPr>
        <w:t xml:space="preserve"> boasted a gain of more than 10 percent </w:t>
      </w:r>
      <w:r w:rsidR="0054225E" w:rsidRPr="00827138">
        <w:rPr>
          <w:sz w:val="24"/>
          <w:szCs w:val="24"/>
        </w:rPr>
        <w:t xml:space="preserve">at the end of </w:t>
      </w:r>
      <w:r w:rsidR="00D66C0E" w:rsidRPr="00827138">
        <w:rPr>
          <w:sz w:val="24"/>
          <w:szCs w:val="24"/>
        </w:rPr>
        <w:t xml:space="preserve">last week. </w:t>
      </w:r>
      <w:r w:rsidR="00AD3671" w:rsidRPr="00827138">
        <w:rPr>
          <w:sz w:val="24"/>
          <w:szCs w:val="24"/>
        </w:rPr>
        <w:t xml:space="preserve">That’s not bad for a year </w:t>
      </w:r>
      <w:r w:rsidR="006F1FF8">
        <w:rPr>
          <w:sz w:val="24"/>
          <w:szCs w:val="24"/>
        </w:rPr>
        <w:t>which</w:t>
      </w:r>
      <w:r w:rsidR="00AD3671" w:rsidRPr="00827138">
        <w:rPr>
          <w:sz w:val="24"/>
          <w:szCs w:val="24"/>
        </w:rPr>
        <w:t xml:space="preserve"> included (in the United States) an inverted yield curve, an earnings recession, and </w:t>
      </w:r>
      <w:r w:rsidR="001B41A7" w:rsidRPr="00827138">
        <w:rPr>
          <w:sz w:val="24"/>
          <w:szCs w:val="24"/>
        </w:rPr>
        <w:t xml:space="preserve">a contentious </w:t>
      </w:r>
      <w:r w:rsidR="00AD3671" w:rsidRPr="00827138">
        <w:rPr>
          <w:sz w:val="24"/>
          <w:szCs w:val="24"/>
        </w:rPr>
        <w:t xml:space="preserve">trade war. </w:t>
      </w:r>
    </w:p>
    <w:p w14:paraId="57AE69C1" w14:textId="77777777" w:rsidR="00AD3671" w:rsidRPr="00827138" w:rsidRDefault="00AD3671" w:rsidP="003764F4">
      <w:pPr>
        <w:rPr>
          <w:sz w:val="24"/>
          <w:szCs w:val="24"/>
        </w:rPr>
      </w:pPr>
    </w:p>
    <w:p w14:paraId="3225808A" w14:textId="7B54F84C" w:rsidR="00917D7B" w:rsidRPr="00827138" w:rsidRDefault="00764C97" w:rsidP="003764F4">
      <w:pPr>
        <w:rPr>
          <w:sz w:val="24"/>
          <w:szCs w:val="24"/>
        </w:rPr>
      </w:pPr>
      <w:r>
        <w:rPr>
          <w:sz w:val="24"/>
          <w:szCs w:val="24"/>
        </w:rPr>
        <w:t>The strong</w:t>
      </w:r>
      <w:r w:rsidR="00E46D86" w:rsidRPr="00827138">
        <w:rPr>
          <w:sz w:val="24"/>
          <w:szCs w:val="24"/>
        </w:rPr>
        <w:t xml:space="preserve"> stock market performance </w:t>
      </w:r>
      <w:r>
        <w:rPr>
          <w:sz w:val="24"/>
          <w:szCs w:val="24"/>
        </w:rPr>
        <w:t xml:space="preserve">of 2019 </w:t>
      </w:r>
      <w:r w:rsidR="00E46D86" w:rsidRPr="00827138">
        <w:rPr>
          <w:sz w:val="24"/>
          <w:szCs w:val="24"/>
        </w:rPr>
        <w:t>owes a lot to central banks</w:t>
      </w:r>
      <w:r w:rsidR="00652FEA" w:rsidRPr="00827138">
        <w:rPr>
          <w:sz w:val="24"/>
          <w:szCs w:val="24"/>
        </w:rPr>
        <w:t>, and so does the performance of the bond market</w:t>
      </w:r>
      <w:r w:rsidR="006C6F3B" w:rsidRPr="0099115C">
        <w:rPr>
          <w:sz w:val="24"/>
          <w:szCs w:val="24"/>
        </w:rPr>
        <w:t>.</w:t>
      </w:r>
      <w:r w:rsidR="007F2AA3" w:rsidRPr="0099115C">
        <w:rPr>
          <w:sz w:val="24"/>
          <w:szCs w:val="24"/>
        </w:rPr>
        <w:t xml:space="preserve"> </w:t>
      </w:r>
      <w:r w:rsidR="00917D7B" w:rsidRPr="0099115C">
        <w:rPr>
          <w:i/>
          <w:iCs/>
          <w:sz w:val="24"/>
          <w:szCs w:val="24"/>
        </w:rPr>
        <w:t>Reuters</w:t>
      </w:r>
      <w:r w:rsidR="004063EF" w:rsidRPr="00827138">
        <w:rPr>
          <w:sz w:val="24"/>
          <w:szCs w:val="24"/>
        </w:rPr>
        <w:t xml:space="preserve"> reported</w:t>
      </w:r>
      <w:r w:rsidR="004063EF" w:rsidRPr="0099115C">
        <w:rPr>
          <w:sz w:val="24"/>
          <w:szCs w:val="24"/>
        </w:rPr>
        <w:t xml:space="preserve">, </w:t>
      </w:r>
    </w:p>
    <w:p w14:paraId="7F250F95" w14:textId="77777777" w:rsidR="00917D7B" w:rsidRPr="00827138" w:rsidRDefault="00917D7B" w:rsidP="003764F4">
      <w:pPr>
        <w:rPr>
          <w:sz w:val="24"/>
          <w:szCs w:val="24"/>
        </w:rPr>
      </w:pPr>
    </w:p>
    <w:p w14:paraId="47EB1CDE" w14:textId="2AC13FD0" w:rsidR="004063EF" w:rsidRPr="00827138" w:rsidRDefault="004063EF" w:rsidP="00764C97">
      <w:pPr>
        <w:ind w:left="720"/>
        <w:rPr>
          <w:sz w:val="24"/>
          <w:szCs w:val="24"/>
        </w:rPr>
      </w:pPr>
      <w:r w:rsidRPr="00827138">
        <w:rPr>
          <w:sz w:val="24"/>
          <w:szCs w:val="24"/>
        </w:rPr>
        <w:t>“</w:t>
      </w:r>
      <w:r w:rsidR="00917D7B" w:rsidRPr="00827138">
        <w:rPr>
          <w:sz w:val="24"/>
          <w:szCs w:val="24"/>
        </w:rPr>
        <w:t>…the screeching change of direction by the world’s top central banks, led by the Federal Reserve, which cut U.S. interest rates for the first time since the financial crisis more than a decade earlier…</w:t>
      </w:r>
      <w:r w:rsidR="0054225E" w:rsidRPr="00827138">
        <w:rPr>
          <w:sz w:val="24"/>
          <w:szCs w:val="24"/>
        </w:rPr>
        <w:t xml:space="preserve">fired bond markets up like a rocket. </w:t>
      </w:r>
      <w:r w:rsidRPr="00827138">
        <w:rPr>
          <w:sz w:val="24"/>
          <w:szCs w:val="24"/>
        </w:rPr>
        <w:t>U.S. Treasuries, the world's benchmark government IOU, have made a whopping 9.4 percent after yields plunged as much as 120 basis points</w:t>
      </w:r>
      <w:r w:rsidR="00917D7B" w:rsidRPr="00827138">
        <w:rPr>
          <w:sz w:val="24"/>
          <w:szCs w:val="24"/>
        </w:rPr>
        <w:t>…</w:t>
      </w:r>
      <w:r w:rsidRPr="00827138">
        <w:rPr>
          <w:sz w:val="24"/>
          <w:szCs w:val="24"/>
        </w:rPr>
        <w:t xml:space="preserve">German Bunds </w:t>
      </w:r>
      <w:r w:rsidR="00917D7B" w:rsidRPr="00827138">
        <w:rPr>
          <w:sz w:val="24"/>
          <w:szCs w:val="24"/>
        </w:rPr>
        <w:t>–</w:t>
      </w:r>
      <w:r w:rsidRPr="00827138">
        <w:rPr>
          <w:sz w:val="24"/>
          <w:szCs w:val="24"/>
        </w:rPr>
        <w:t xml:space="preserve"> Europe's safest asset </w:t>
      </w:r>
      <w:r w:rsidR="00917D7B" w:rsidRPr="00827138">
        <w:rPr>
          <w:sz w:val="24"/>
          <w:szCs w:val="24"/>
        </w:rPr>
        <w:t>–</w:t>
      </w:r>
      <w:r w:rsidRPr="00827138">
        <w:rPr>
          <w:sz w:val="24"/>
          <w:szCs w:val="24"/>
        </w:rPr>
        <w:t xml:space="preserve"> have had their best year in five years, making roughly 5.5% in euro terms as the European Central Bank has reversed course too.</w:t>
      </w:r>
      <w:r w:rsidR="00764C97">
        <w:rPr>
          <w:sz w:val="24"/>
          <w:szCs w:val="24"/>
        </w:rPr>
        <w:t>”</w:t>
      </w:r>
    </w:p>
    <w:p w14:paraId="23B7D95C" w14:textId="5F1A5AD0" w:rsidR="004063EF" w:rsidRPr="00827138" w:rsidRDefault="004063EF" w:rsidP="003764F4">
      <w:pPr>
        <w:rPr>
          <w:sz w:val="24"/>
          <w:szCs w:val="24"/>
        </w:rPr>
      </w:pPr>
    </w:p>
    <w:p w14:paraId="111AC6D7" w14:textId="7DF399CA" w:rsidR="004063EF" w:rsidRPr="00827138" w:rsidRDefault="00917D7B" w:rsidP="003764F4">
      <w:pPr>
        <w:rPr>
          <w:sz w:val="24"/>
          <w:szCs w:val="24"/>
        </w:rPr>
      </w:pPr>
      <w:r w:rsidRPr="00827138">
        <w:rPr>
          <w:sz w:val="24"/>
          <w:szCs w:val="24"/>
        </w:rPr>
        <w:t xml:space="preserve">So, what lessons should </w:t>
      </w:r>
      <w:r w:rsidR="00010499" w:rsidRPr="00827138">
        <w:rPr>
          <w:sz w:val="24"/>
          <w:szCs w:val="24"/>
        </w:rPr>
        <w:t>we</w:t>
      </w:r>
      <w:r w:rsidRPr="00827138">
        <w:rPr>
          <w:sz w:val="24"/>
          <w:szCs w:val="24"/>
        </w:rPr>
        <w:t xml:space="preserve"> take from 2019? </w:t>
      </w:r>
    </w:p>
    <w:p w14:paraId="62DF2E31" w14:textId="26FBFA73" w:rsidR="00917D7B" w:rsidRPr="00827138" w:rsidRDefault="00917D7B" w:rsidP="003764F4">
      <w:pPr>
        <w:rPr>
          <w:sz w:val="24"/>
          <w:szCs w:val="24"/>
        </w:rPr>
      </w:pPr>
    </w:p>
    <w:p w14:paraId="2BC3CFCA" w14:textId="1A4B479D" w:rsidR="00917D7B" w:rsidRPr="00827138" w:rsidRDefault="003276FA" w:rsidP="003764F4">
      <w:pPr>
        <w:rPr>
          <w:sz w:val="24"/>
          <w:szCs w:val="24"/>
        </w:rPr>
      </w:pPr>
      <w:r w:rsidRPr="00827138">
        <w:rPr>
          <w:sz w:val="24"/>
          <w:szCs w:val="24"/>
        </w:rPr>
        <w:t>Perhaps, w</w:t>
      </w:r>
      <w:r w:rsidR="00010499" w:rsidRPr="00827138">
        <w:rPr>
          <w:sz w:val="24"/>
          <w:szCs w:val="24"/>
        </w:rPr>
        <w:t>e should try to come to terms with loss aversion.</w:t>
      </w:r>
      <w:r w:rsidR="00917D7B" w:rsidRPr="00827138">
        <w:rPr>
          <w:sz w:val="24"/>
          <w:szCs w:val="24"/>
        </w:rPr>
        <w:t xml:space="preserve"> </w:t>
      </w:r>
      <w:r w:rsidR="00010499" w:rsidRPr="00827138">
        <w:rPr>
          <w:sz w:val="24"/>
          <w:szCs w:val="24"/>
        </w:rPr>
        <w:t xml:space="preserve">When you make an investment decision, it’s important to consider the impact of loss aversion on your thinking. </w:t>
      </w:r>
      <w:r w:rsidR="00917D7B" w:rsidRPr="00827138">
        <w:rPr>
          <w:sz w:val="24"/>
          <w:szCs w:val="24"/>
        </w:rPr>
        <w:t xml:space="preserve">The pain from a loss </w:t>
      </w:r>
      <w:r w:rsidR="00E26A15" w:rsidRPr="00827138">
        <w:rPr>
          <w:sz w:val="24"/>
          <w:szCs w:val="24"/>
        </w:rPr>
        <w:t>carries twice the impact of</w:t>
      </w:r>
      <w:r w:rsidR="00917D7B" w:rsidRPr="00827138">
        <w:rPr>
          <w:sz w:val="24"/>
          <w:szCs w:val="24"/>
        </w:rPr>
        <w:t xml:space="preserve"> the pleasure from a ga</w:t>
      </w:r>
      <w:r w:rsidR="00451898">
        <w:rPr>
          <w:sz w:val="24"/>
          <w:szCs w:val="24"/>
        </w:rPr>
        <w:t xml:space="preserve">in. As a result, fear of loss may </w:t>
      </w:r>
      <w:r w:rsidR="00917D7B" w:rsidRPr="00827138">
        <w:rPr>
          <w:sz w:val="24"/>
          <w:szCs w:val="24"/>
        </w:rPr>
        <w:t>affect investment decision</w:t>
      </w:r>
      <w:r w:rsidR="0054225E" w:rsidRPr="00827138">
        <w:rPr>
          <w:sz w:val="24"/>
          <w:szCs w:val="24"/>
        </w:rPr>
        <w:t xml:space="preserve"> </w:t>
      </w:r>
      <w:r w:rsidR="00917D7B" w:rsidRPr="00827138">
        <w:rPr>
          <w:sz w:val="24"/>
          <w:szCs w:val="24"/>
        </w:rPr>
        <w:t>making.</w:t>
      </w:r>
      <w:r w:rsidR="0054225E" w:rsidRPr="00827138">
        <w:rPr>
          <w:sz w:val="24"/>
          <w:szCs w:val="24"/>
        </w:rPr>
        <w:t xml:space="preserve"> </w:t>
      </w:r>
    </w:p>
    <w:p w14:paraId="137FDDF3" w14:textId="2B7261A9" w:rsidR="004063EF" w:rsidRPr="00827138" w:rsidRDefault="004063EF" w:rsidP="003764F4">
      <w:pPr>
        <w:rPr>
          <w:sz w:val="24"/>
          <w:szCs w:val="24"/>
        </w:rPr>
      </w:pPr>
    </w:p>
    <w:p w14:paraId="131A9B0E" w14:textId="55070270" w:rsidR="00FF6D92" w:rsidRPr="00827138" w:rsidRDefault="00E26A15" w:rsidP="003764F4">
      <w:pPr>
        <w:rPr>
          <w:sz w:val="24"/>
          <w:szCs w:val="24"/>
        </w:rPr>
      </w:pPr>
      <w:r w:rsidRPr="00827138">
        <w:rPr>
          <w:sz w:val="24"/>
          <w:szCs w:val="24"/>
        </w:rPr>
        <w:t xml:space="preserve">2019 </w:t>
      </w:r>
      <w:r w:rsidR="00FF6D92" w:rsidRPr="00827138">
        <w:rPr>
          <w:sz w:val="24"/>
          <w:szCs w:val="24"/>
        </w:rPr>
        <w:t>offered</w:t>
      </w:r>
      <w:r w:rsidR="00010499" w:rsidRPr="00827138">
        <w:rPr>
          <w:sz w:val="24"/>
          <w:szCs w:val="24"/>
        </w:rPr>
        <w:t xml:space="preserve"> a great example. </w:t>
      </w:r>
      <w:r w:rsidR="001B0DFD" w:rsidRPr="00827138">
        <w:rPr>
          <w:sz w:val="24"/>
          <w:szCs w:val="24"/>
        </w:rPr>
        <w:t>During</w:t>
      </w:r>
      <w:r w:rsidR="00FF6D92" w:rsidRPr="00827138">
        <w:rPr>
          <w:sz w:val="24"/>
          <w:szCs w:val="24"/>
        </w:rPr>
        <w:t xml:space="preserve"> </w:t>
      </w:r>
      <w:r w:rsidR="0054225E" w:rsidRPr="00827138">
        <w:rPr>
          <w:sz w:val="24"/>
          <w:szCs w:val="24"/>
        </w:rPr>
        <w:t xml:space="preserve">a year </w:t>
      </w:r>
      <w:r w:rsidR="00FF6D92" w:rsidRPr="00827138">
        <w:rPr>
          <w:sz w:val="24"/>
          <w:szCs w:val="24"/>
        </w:rPr>
        <w:t>of</w:t>
      </w:r>
      <w:r w:rsidR="0054225E" w:rsidRPr="00827138">
        <w:rPr>
          <w:sz w:val="24"/>
          <w:szCs w:val="24"/>
        </w:rPr>
        <w:t xml:space="preserve"> exceptional returns</w:t>
      </w:r>
      <w:r w:rsidR="001B0DFD" w:rsidRPr="00827138">
        <w:rPr>
          <w:sz w:val="24"/>
          <w:szCs w:val="24"/>
        </w:rPr>
        <w:t>,</w:t>
      </w:r>
      <w:r w:rsidR="00FF6D92" w:rsidRPr="00827138">
        <w:rPr>
          <w:sz w:val="24"/>
          <w:szCs w:val="24"/>
        </w:rPr>
        <w:t xml:space="preserve"> </w:t>
      </w:r>
      <w:r w:rsidR="0054225E" w:rsidRPr="00827138">
        <w:rPr>
          <w:sz w:val="24"/>
          <w:szCs w:val="24"/>
        </w:rPr>
        <w:t>investors pulled money out of stocks at a record pace</w:t>
      </w:r>
      <w:r w:rsidR="00FF6D92" w:rsidRPr="00827138">
        <w:rPr>
          <w:sz w:val="24"/>
          <w:szCs w:val="24"/>
        </w:rPr>
        <w:t xml:space="preserve"> because they were worried about recession and other issues</w:t>
      </w:r>
      <w:r w:rsidR="0054225E" w:rsidRPr="00827138">
        <w:rPr>
          <w:sz w:val="24"/>
          <w:szCs w:val="24"/>
        </w:rPr>
        <w:t>.</w:t>
      </w:r>
      <w:r w:rsidR="001B0DFD" w:rsidRPr="0099115C">
        <w:rPr>
          <w:sz w:val="24"/>
          <w:szCs w:val="24"/>
        </w:rPr>
        <w:t xml:space="preserve"> </w:t>
      </w:r>
      <w:proofErr w:type="spellStart"/>
      <w:r w:rsidR="0054225E" w:rsidRPr="0099115C">
        <w:rPr>
          <w:i/>
          <w:iCs/>
          <w:sz w:val="24"/>
          <w:szCs w:val="24"/>
        </w:rPr>
        <w:t>Axios</w:t>
      </w:r>
      <w:proofErr w:type="spellEnd"/>
      <w:r w:rsidR="0054225E" w:rsidRPr="00827138">
        <w:rPr>
          <w:sz w:val="24"/>
          <w:szCs w:val="24"/>
        </w:rPr>
        <w:t xml:space="preserve"> reported, </w:t>
      </w:r>
    </w:p>
    <w:p w14:paraId="6C004AC4" w14:textId="77777777" w:rsidR="00FF6D92" w:rsidRPr="00827138" w:rsidRDefault="00FF6D92" w:rsidP="003764F4">
      <w:pPr>
        <w:rPr>
          <w:sz w:val="24"/>
          <w:szCs w:val="24"/>
        </w:rPr>
      </w:pPr>
    </w:p>
    <w:p w14:paraId="2C90889E" w14:textId="4221F6E8" w:rsidR="0054225E" w:rsidRPr="00827138" w:rsidRDefault="0054225E" w:rsidP="00CE2DB7">
      <w:pPr>
        <w:ind w:left="720"/>
        <w:rPr>
          <w:sz w:val="24"/>
          <w:szCs w:val="24"/>
        </w:rPr>
      </w:pPr>
      <w:r w:rsidRPr="00827138">
        <w:rPr>
          <w:sz w:val="24"/>
          <w:szCs w:val="24"/>
        </w:rPr>
        <w:t xml:space="preserve">“Data from the Investment Company Institute shows money has been pulled out of [stock investments] in every month this year except January. In total, more than $130 billion has been drawn from [stock investments] in 2019, making it already the largest year of outflows on record.” </w:t>
      </w:r>
    </w:p>
    <w:p w14:paraId="3FB2CBD0" w14:textId="4941BCB9" w:rsidR="0054225E" w:rsidRPr="00827138" w:rsidRDefault="0054225E" w:rsidP="003764F4">
      <w:pPr>
        <w:rPr>
          <w:sz w:val="24"/>
          <w:szCs w:val="24"/>
        </w:rPr>
      </w:pPr>
    </w:p>
    <w:p w14:paraId="47650C38" w14:textId="4346A96E" w:rsidR="00177576" w:rsidRPr="00827138" w:rsidRDefault="00177576" w:rsidP="003764F4">
      <w:pPr>
        <w:rPr>
          <w:sz w:val="24"/>
          <w:szCs w:val="24"/>
        </w:rPr>
      </w:pPr>
      <w:r w:rsidRPr="00827138">
        <w:rPr>
          <w:sz w:val="24"/>
          <w:szCs w:val="24"/>
        </w:rPr>
        <w:t>When it comes to investing, u</w:t>
      </w:r>
      <w:r w:rsidR="00CA06BE" w:rsidRPr="00827138">
        <w:rPr>
          <w:sz w:val="24"/>
          <w:szCs w:val="24"/>
        </w:rPr>
        <w:t xml:space="preserve">ncertainty is normal. It is part of investing. Tolerating uncertainty </w:t>
      </w:r>
      <w:r w:rsidR="00451898">
        <w:rPr>
          <w:sz w:val="24"/>
          <w:szCs w:val="24"/>
        </w:rPr>
        <w:t>may</w:t>
      </w:r>
      <w:r w:rsidR="00CA06BE" w:rsidRPr="00827138">
        <w:rPr>
          <w:sz w:val="24"/>
          <w:szCs w:val="24"/>
        </w:rPr>
        <w:t xml:space="preserve"> </w:t>
      </w:r>
      <w:r w:rsidR="00252A66" w:rsidRPr="00827138">
        <w:rPr>
          <w:sz w:val="24"/>
          <w:szCs w:val="24"/>
        </w:rPr>
        <w:t>help investors earn</w:t>
      </w:r>
      <w:r w:rsidR="00CA06BE" w:rsidRPr="00827138">
        <w:rPr>
          <w:sz w:val="24"/>
          <w:szCs w:val="24"/>
        </w:rPr>
        <w:t xml:space="preserve"> attractive returns. As a result, our advice is to stay invested even when uncertainty makes you nervous, even when markets are falling. </w:t>
      </w:r>
    </w:p>
    <w:p w14:paraId="32CD8A4B" w14:textId="77777777" w:rsidR="00177576" w:rsidRPr="00827138" w:rsidRDefault="00177576" w:rsidP="003764F4">
      <w:pPr>
        <w:rPr>
          <w:sz w:val="24"/>
          <w:szCs w:val="24"/>
        </w:rPr>
      </w:pPr>
    </w:p>
    <w:p w14:paraId="15BA9D90" w14:textId="3F2C0894" w:rsidR="00FA5E8B" w:rsidRPr="00827138" w:rsidRDefault="00252A66" w:rsidP="003764F4">
      <w:pPr>
        <w:rPr>
          <w:sz w:val="24"/>
          <w:szCs w:val="24"/>
        </w:rPr>
      </w:pPr>
      <w:r w:rsidRPr="00827138">
        <w:rPr>
          <w:sz w:val="24"/>
          <w:szCs w:val="24"/>
        </w:rPr>
        <w:lastRenderedPageBreak/>
        <w:t>If y</w:t>
      </w:r>
      <w:r w:rsidR="00CA06BE" w:rsidRPr="00827138">
        <w:rPr>
          <w:sz w:val="24"/>
          <w:szCs w:val="24"/>
        </w:rPr>
        <w:t>ou have a diversified portfolio built to help you reach your goals</w:t>
      </w:r>
      <w:r w:rsidRPr="00827138">
        <w:rPr>
          <w:sz w:val="24"/>
          <w:szCs w:val="24"/>
        </w:rPr>
        <w:t>, s</w:t>
      </w:r>
      <w:r w:rsidR="00CA06BE" w:rsidRPr="00827138">
        <w:rPr>
          <w:sz w:val="24"/>
          <w:szCs w:val="24"/>
        </w:rPr>
        <w:t>tay with it</w:t>
      </w:r>
      <w:r w:rsidR="00177576" w:rsidRPr="00827138">
        <w:rPr>
          <w:sz w:val="24"/>
          <w:szCs w:val="24"/>
        </w:rPr>
        <w:t xml:space="preserve">, unless you risk tolerance has changed. </w:t>
      </w:r>
      <w:r w:rsidR="0095603E" w:rsidRPr="00827138">
        <w:rPr>
          <w:sz w:val="24"/>
          <w:szCs w:val="24"/>
        </w:rPr>
        <w:t xml:space="preserve">In 2019, pulling money out of stocks meant </w:t>
      </w:r>
      <w:r w:rsidR="00E9370C" w:rsidRPr="00827138">
        <w:rPr>
          <w:sz w:val="24"/>
          <w:szCs w:val="24"/>
        </w:rPr>
        <w:t xml:space="preserve">some </w:t>
      </w:r>
      <w:r w:rsidR="0095603E" w:rsidRPr="00827138">
        <w:rPr>
          <w:sz w:val="24"/>
          <w:szCs w:val="24"/>
        </w:rPr>
        <w:t>investors misse</w:t>
      </w:r>
      <w:r w:rsidR="00177576" w:rsidRPr="00827138">
        <w:rPr>
          <w:sz w:val="24"/>
          <w:szCs w:val="24"/>
        </w:rPr>
        <w:t>d</w:t>
      </w:r>
      <w:r w:rsidR="0095603E" w:rsidRPr="00827138">
        <w:rPr>
          <w:sz w:val="24"/>
          <w:szCs w:val="24"/>
        </w:rPr>
        <w:t xml:space="preserve"> out on some exceptional returns.</w:t>
      </w:r>
    </w:p>
    <w:p w14:paraId="0B28B79D" w14:textId="00C720C8" w:rsidR="00F65159" w:rsidRPr="00827138" w:rsidRDefault="00F65159" w:rsidP="003764F4">
      <w:pPr>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827138"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AA45358" w:rsidR="00F5154C" w:rsidRPr="00827138" w:rsidRDefault="00F5154C" w:rsidP="003764F4">
            <w:pPr>
              <w:tabs>
                <w:tab w:val="left" w:pos="8550"/>
              </w:tabs>
              <w:jc w:val="center"/>
              <w:rPr>
                <w:b/>
                <w:bCs/>
                <w:color w:val="000000" w:themeColor="text1"/>
                <w:szCs w:val="24"/>
              </w:rPr>
            </w:pPr>
            <w:r w:rsidRPr="00827138">
              <w:rPr>
                <w:color w:val="000000" w:themeColor="text1"/>
                <w:szCs w:val="24"/>
              </w:rPr>
              <w:br w:type="page"/>
            </w:r>
            <w:r w:rsidR="00A80CE6" w:rsidRPr="00827138">
              <w:rPr>
                <w:b/>
                <w:bCs/>
                <w:color w:val="000000" w:themeColor="text1"/>
                <w:szCs w:val="24"/>
              </w:rPr>
              <w:t xml:space="preserve">Data as of </w:t>
            </w:r>
            <w:r w:rsidR="003D5BA6" w:rsidRPr="00827138">
              <w:rPr>
                <w:b/>
                <w:bCs/>
                <w:color w:val="000000" w:themeColor="text1"/>
                <w:szCs w:val="24"/>
              </w:rPr>
              <w:t>1</w:t>
            </w:r>
            <w:r w:rsidR="00465B0E" w:rsidRPr="00827138">
              <w:rPr>
                <w:b/>
                <w:bCs/>
                <w:color w:val="000000" w:themeColor="text1"/>
                <w:szCs w:val="24"/>
              </w:rPr>
              <w:t>2</w:t>
            </w:r>
            <w:r w:rsidR="003D5BA6" w:rsidRPr="00827138">
              <w:rPr>
                <w:b/>
                <w:bCs/>
                <w:color w:val="000000" w:themeColor="text1"/>
                <w:szCs w:val="24"/>
              </w:rPr>
              <w:t>/</w:t>
            </w:r>
            <w:r w:rsidR="00306008" w:rsidRPr="00827138">
              <w:rPr>
                <w:b/>
                <w:bCs/>
                <w:color w:val="000000" w:themeColor="text1"/>
                <w:szCs w:val="24"/>
              </w:rPr>
              <w:t>20</w:t>
            </w:r>
            <w:r w:rsidR="00DB62F4" w:rsidRPr="00827138">
              <w:rPr>
                <w:b/>
                <w:bCs/>
                <w:color w:val="000000" w:themeColor="text1"/>
                <w:szCs w:val="24"/>
              </w:rPr>
              <w:t>/</w:t>
            </w:r>
            <w:r w:rsidRPr="00827138">
              <w:rPr>
                <w:b/>
                <w:bCs/>
                <w:color w:val="000000" w:themeColor="text1"/>
                <w:szCs w:val="24"/>
              </w:rPr>
              <w:t>1</w:t>
            </w:r>
            <w:r w:rsidR="00AE7C00" w:rsidRPr="00827138">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827138" w:rsidRDefault="00F5154C" w:rsidP="003764F4">
            <w:pPr>
              <w:tabs>
                <w:tab w:val="left" w:pos="8550"/>
              </w:tabs>
              <w:jc w:val="center"/>
              <w:rPr>
                <w:b/>
                <w:bCs/>
                <w:color w:val="000000" w:themeColor="text1"/>
                <w:szCs w:val="24"/>
              </w:rPr>
            </w:pPr>
            <w:r w:rsidRPr="00827138">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827138" w:rsidRDefault="00F5154C" w:rsidP="003764F4">
            <w:pPr>
              <w:tabs>
                <w:tab w:val="left" w:pos="8550"/>
              </w:tabs>
              <w:jc w:val="center"/>
              <w:rPr>
                <w:b/>
                <w:bCs/>
                <w:color w:val="000000" w:themeColor="text1"/>
                <w:szCs w:val="24"/>
              </w:rPr>
            </w:pPr>
            <w:r w:rsidRPr="00827138">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827138" w:rsidRDefault="00F5154C" w:rsidP="003764F4">
            <w:pPr>
              <w:tabs>
                <w:tab w:val="left" w:pos="8550"/>
              </w:tabs>
              <w:jc w:val="center"/>
              <w:rPr>
                <w:b/>
                <w:bCs/>
                <w:color w:val="000000" w:themeColor="text1"/>
                <w:szCs w:val="24"/>
              </w:rPr>
            </w:pPr>
            <w:r w:rsidRPr="00827138">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827138" w:rsidRDefault="00F5154C" w:rsidP="003764F4">
            <w:pPr>
              <w:tabs>
                <w:tab w:val="left" w:pos="8550"/>
              </w:tabs>
              <w:jc w:val="center"/>
              <w:rPr>
                <w:b/>
                <w:bCs/>
                <w:color w:val="000000" w:themeColor="text1"/>
                <w:szCs w:val="24"/>
              </w:rPr>
            </w:pPr>
            <w:r w:rsidRPr="00827138">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827138" w:rsidRDefault="00F5154C" w:rsidP="003764F4">
            <w:pPr>
              <w:tabs>
                <w:tab w:val="left" w:pos="8550"/>
              </w:tabs>
              <w:jc w:val="center"/>
              <w:rPr>
                <w:b/>
                <w:bCs/>
                <w:color w:val="000000" w:themeColor="text1"/>
                <w:szCs w:val="24"/>
              </w:rPr>
            </w:pPr>
            <w:r w:rsidRPr="00827138">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827138" w:rsidRDefault="00F5154C" w:rsidP="003764F4">
            <w:pPr>
              <w:tabs>
                <w:tab w:val="left" w:pos="8550"/>
              </w:tabs>
              <w:jc w:val="center"/>
              <w:rPr>
                <w:b/>
                <w:bCs/>
                <w:color w:val="000000" w:themeColor="text1"/>
                <w:szCs w:val="24"/>
              </w:rPr>
            </w:pPr>
            <w:r w:rsidRPr="00827138">
              <w:rPr>
                <w:b/>
                <w:bCs/>
                <w:color w:val="000000" w:themeColor="text1"/>
                <w:szCs w:val="24"/>
              </w:rPr>
              <w:t>10-Year</w:t>
            </w:r>
          </w:p>
        </w:tc>
      </w:tr>
      <w:tr w:rsidR="00F5154C" w:rsidRPr="00827138"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827138" w:rsidRDefault="00F5154C" w:rsidP="003764F4">
            <w:pPr>
              <w:tabs>
                <w:tab w:val="left" w:pos="8550"/>
              </w:tabs>
              <w:rPr>
                <w:szCs w:val="24"/>
              </w:rPr>
            </w:pPr>
            <w:r w:rsidRPr="00827138">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4B634365" w:rsidR="00F5154C" w:rsidRPr="00827138" w:rsidRDefault="001A40A3" w:rsidP="003764F4">
            <w:pPr>
              <w:tabs>
                <w:tab w:val="left" w:pos="8550"/>
              </w:tabs>
              <w:jc w:val="center"/>
              <w:rPr>
                <w:szCs w:val="24"/>
              </w:rPr>
            </w:pPr>
            <w:r w:rsidRPr="00827138">
              <w:rPr>
                <w:szCs w:val="24"/>
              </w:rPr>
              <w:t>1</w:t>
            </w:r>
            <w:r w:rsidR="0008341B" w:rsidRPr="00827138">
              <w:rPr>
                <w:szCs w:val="24"/>
              </w:rPr>
              <w:t>.7</w:t>
            </w:r>
            <w:r w:rsidR="00F5154C" w:rsidRPr="00827138">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2C5FA76A" w:rsidR="00F5154C" w:rsidRPr="00827138" w:rsidRDefault="00264CCF" w:rsidP="003764F4">
            <w:pPr>
              <w:tabs>
                <w:tab w:val="left" w:pos="8550"/>
              </w:tabs>
              <w:jc w:val="center"/>
              <w:rPr>
                <w:szCs w:val="24"/>
              </w:rPr>
            </w:pPr>
            <w:r w:rsidRPr="00827138">
              <w:rPr>
                <w:szCs w:val="24"/>
              </w:rPr>
              <w:t>2</w:t>
            </w:r>
            <w:r w:rsidR="001A40A3" w:rsidRPr="00827138">
              <w:rPr>
                <w:szCs w:val="24"/>
              </w:rPr>
              <w:t>8.5</w:t>
            </w:r>
            <w:r w:rsidR="00F5154C" w:rsidRPr="00827138">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10514FC4" w:rsidR="00F5154C" w:rsidRPr="00827138" w:rsidRDefault="001A40A3" w:rsidP="003764F4">
            <w:pPr>
              <w:tabs>
                <w:tab w:val="left" w:pos="8550"/>
              </w:tabs>
              <w:jc w:val="center"/>
              <w:rPr>
                <w:szCs w:val="24"/>
              </w:rPr>
            </w:pPr>
            <w:r w:rsidRPr="00827138">
              <w:rPr>
                <w:szCs w:val="24"/>
              </w:rPr>
              <w:t>30.6</w:t>
            </w:r>
            <w:r w:rsidR="00F5154C" w:rsidRPr="00827138">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CFA9AA2" w:rsidR="00F5154C" w:rsidRPr="00827138" w:rsidRDefault="00264CCF" w:rsidP="003764F4">
            <w:pPr>
              <w:tabs>
                <w:tab w:val="left" w:pos="8550"/>
              </w:tabs>
              <w:jc w:val="center"/>
              <w:rPr>
                <w:szCs w:val="24"/>
              </w:rPr>
            </w:pPr>
            <w:r w:rsidRPr="00827138">
              <w:rPr>
                <w:szCs w:val="24"/>
              </w:rPr>
              <w:t>1</w:t>
            </w:r>
            <w:r w:rsidR="001A40A3" w:rsidRPr="00827138">
              <w:rPr>
                <w:szCs w:val="24"/>
              </w:rPr>
              <w:t>2.4</w:t>
            </w:r>
            <w:r w:rsidR="00C2158B" w:rsidRPr="00827138">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66EF89EA" w:rsidR="00F5154C" w:rsidRPr="00827138" w:rsidRDefault="0008341B" w:rsidP="003764F4">
            <w:pPr>
              <w:tabs>
                <w:tab w:val="left" w:pos="8550"/>
              </w:tabs>
              <w:jc w:val="center"/>
              <w:rPr>
                <w:szCs w:val="24"/>
              </w:rPr>
            </w:pPr>
            <w:r w:rsidRPr="00827138">
              <w:rPr>
                <w:szCs w:val="24"/>
              </w:rPr>
              <w:t>9</w:t>
            </w:r>
            <w:r w:rsidR="00264CCF" w:rsidRPr="00827138">
              <w:rPr>
                <w:szCs w:val="24"/>
              </w:rPr>
              <w:t>.</w:t>
            </w:r>
            <w:r w:rsidR="001A40A3" w:rsidRPr="00827138">
              <w:rPr>
                <w:szCs w:val="24"/>
              </w:rPr>
              <w:t>2</w:t>
            </w:r>
            <w:r w:rsidR="00F5154C" w:rsidRPr="00827138">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F5426C5" w:rsidR="00F5154C" w:rsidRPr="00827138" w:rsidRDefault="00264CCF" w:rsidP="003764F4">
            <w:pPr>
              <w:tabs>
                <w:tab w:val="left" w:pos="8550"/>
              </w:tabs>
              <w:jc w:val="center"/>
              <w:rPr>
                <w:szCs w:val="24"/>
              </w:rPr>
            </w:pPr>
            <w:r w:rsidRPr="00827138">
              <w:rPr>
                <w:szCs w:val="24"/>
              </w:rPr>
              <w:t>1</w:t>
            </w:r>
            <w:r w:rsidR="00B67DE4" w:rsidRPr="00827138">
              <w:rPr>
                <w:szCs w:val="24"/>
              </w:rPr>
              <w:t>1.</w:t>
            </w:r>
            <w:r w:rsidR="001A40A3" w:rsidRPr="00827138">
              <w:rPr>
                <w:szCs w:val="24"/>
              </w:rPr>
              <w:t>2</w:t>
            </w:r>
            <w:r w:rsidR="00F5154C" w:rsidRPr="00827138">
              <w:rPr>
                <w:szCs w:val="24"/>
              </w:rPr>
              <w:t>%</w:t>
            </w:r>
          </w:p>
        </w:tc>
      </w:tr>
      <w:tr w:rsidR="00F5154C" w:rsidRPr="00827138"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827138" w:rsidRDefault="00F5154C" w:rsidP="003764F4">
            <w:pPr>
              <w:tabs>
                <w:tab w:val="left" w:pos="8550"/>
              </w:tabs>
              <w:rPr>
                <w:szCs w:val="24"/>
              </w:rPr>
            </w:pPr>
            <w:r w:rsidRPr="00827138">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574DF4E5" w:rsidR="00F5154C" w:rsidRPr="00827138" w:rsidRDefault="001A40A3" w:rsidP="003764F4">
            <w:pPr>
              <w:tabs>
                <w:tab w:val="left" w:pos="8550"/>
              </w:tabs>
              <w:jc w:val="center"/>
              <w:rPr>
                <w:szCs w:val="24"/>
              </w:rPr>
            </w:pPr>
            <w:r w:rsidRPr="00827138">
              <w:rPr>
                <w:szCs w:val="24"/>
              </w:rPr>
              <w:t>0.9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8F54D21" w:rsidR="00F5154C" w:rsidRPr="00827138" w:rsidRDefault="00264CCF" w:rsidP="003764F4">
            <w:pPr>
              <w:tabs>
                <w:tab w:val="left" w:pos="263"/>
                <w:tab w:val="center" w:pos="372"/>
                <w:tab w:val="left" w:pos="8550"/>
              </w:tabs>
              <w:jc w:val="center"/>
              <w:rPr>
                <w:szCs w:val="24"/>
              </w:rPr>
            </w:pPr>
            <w:r w:rsidRPr="00827138">
              <w:rPr>
                <w:szCs w:val="24"/>
              </w:rPr>
              <w:t>1</w:t>
            </w:r>
            <w:r w:rsidR="001A40A3" w:rsidRPr="00827138">
              <w:rPr>
                <w:szCs w:val="24"/>
              </w:rPr>
              <w:t>7.6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3729EDDD" w:rsidR="00F5154C" w:rsidRPr="00827138" w:rsidRDefault="00BC5863" w:rsidP="003764F4">
            <w:pPr>
              <w:tabs>
                <w:tab w:val="left" w:pos="8550"/>
              </w:tabs>
              <w:jc w:val="center"/>
              <w:rPr>
                <w:szCs w:val="24"/>
              </w:rPr>
            </w:pPr>
            <w:r w:rsidRPr="00827138">
              <w:rPr>
                <w:szCs w:val="24"/>
              </w:rPr>
              <w:t>1</w:t>
            </w:r>
            <w:r w:rsidR="001A40A3" w:rsidRPr="00827138">
              <w:rPr>
                <w:szCs w:val="24"/>
              </w:rPr>
              <w:t>8</w:t>
            </w:r>
            <w:r w:rsidR="0008341B" w:rsidRPr="00827138">
              <w:rPr>
                <w:szCs w:val="24"/>
              </w:rPr>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65A97C96" w:rsidR="00F5154C" w:rsidRPr="00827138" w:rsidRDefault="001A40A3" w:rsidP="003764F4">
            <w:pPr>
              <w:tabs>
                <w:tab w:val="left" w:pos="8550"/>
              </w:tabs>
              <w:jc w:val="center"/>
              <w:rPr>
                <w:szCs w:val="24"/>
              </w:rPr>
            </w:pPr>
            <w:r w:rsidRPr="00827138">
              <w:rPr>
                <w:szCs w:val="24"/>
              </w:rPr>
              <w:t>7</w:t>
            </w:r>
            <w:r w:rsidR="00ED015C" w:rsidRPr="00827138">
              <w:rPr>
                <w:szCs w:val="24"/>
              </w:rPr>
              <w:t>.</w:t>
            </w:r>
            <w:r w:rsidR="0008341B" w:rsidRPr="00827138">
              <w:rPr>
                <w:szCs w:val="24"/>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F7AC6B8" w:rsidR="00F5154C" w:rsidRPr="00827138" w:rsidRDefault="0008341B" w:rsidP="003764F4">
            <w:pPr>
              <w:tabs>
                <w:tab w:val="left" w:pos="8550"/>
              </w:tabs>
              <w:jc w:val="center"/>
              <w:rPr>
                <w:szCs w:val="24"/>
              </w:rPr>
            </w:pPr>
            <w:r w:rsidRPr="00827138">
              <w:rPr>
                <w:szCs w:val="24"/>
              </w:rPr>
              <w:t>3.</w:t>
            </w:r>
            <w:r w:rsidR="001A40A3" w:rsidRPr="00827138">
              <w:rPr>
                <w:szCs w:val="24"/>
              </w:rPr>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DE203B7" w:rsidR="00F5154C" w:rsidRPr="00827138" w:rsidRDefault="00FD1DA8" w:rsidP="003764F4">
            <w:pPr>
              <w:tabs>
                <w:tab w:val="left" w:pos="8550"/>
              </w:tabs>
              <w:jc w:val="center"/>
              <w:rPr>
                <w:szCs w:val="24"/>
              </w:rPr>
            </w:pPr>
            <w:r w:rsidRPr="00827138">
              <w:rPr>
                <w:szCs w:val="24"/>
              </w:rPr>
              <w:t>2.</w:t>
            </w:r>
            <w:r w:rsidR="001A40A3" w:rsidRPr="00827138">
              <w:rPr>
                <w:szCs w:val="24"/>
              </w:rPr>
              <w:t>9</w:t>
            </w:r>
          </w:p>
        </w:tc>
      </w:tr>
      <w:tr w:rsidR="00F5154C" w:rsidRPr="00827138"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827138" w:rsidRDefault="00F5154C" w:rsidP="003764F4">
            <w:pPr>
              <w:tabs>
                <w:tab w:val="left" w:pos="8550"/>
              </w:tabs>
              <w:rPr>
                <w:szCs w:val="24"/>
              </w:rPr>
            </w:pPr>
            <w:r w:rsidRPr="00827138">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F1B0EE0" w:rsidR="00F5154C" w:rsidRPr="00827138" w:rsidRDefault="00FD1DA8" w:rsidP="003764F4">
            <w:pPr>
              <w:tabs>
                <w:tab w:val="left" w:pos="8550"/>
              </w:tabs>
              <w:jc w:val="center"/>
              <w:rPr>
                <w:szCs w:val="24"/>
              </w:rPr>
            </w:pPr>
            <w:r w:rsidRPr="00827138">
              <w:rPr>
                <w:szCs w:val="24"/>
              </w:rPr>
              <w:t>1.</w:t>
            </w:r>
            <w:r w:rsidR="001A40A3" w:rsidRPr="00827138">
              <w:rPr>
                <w:szCs w:val="24"/>
              </w:rPr>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827138" w:rsidRDefault="00F5154C" w:rsidP="003764F4">
            <w:pPr>
              <w:tabs>
                <w:tab w:val="left" w:pos="263"/>
                <w:tab w:val="center" w:pos="372"/>
                <w:tab w:val="left" w:pos="8550"/>
              </w:tabs>
              <w:jc w:val="center"/>
              <w:rPr>
                <w:szCs w:val="24"/>
              </w:rPr>
            </w:pPr>
            <w:r w:rsidRPr="00827138">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1D6F72B3" w:rsidR="00F5154C" w:rsidRPr="00827138" w:rsidRDefault="00BC5863" w:rsidP="003764F4">
            <w:pPr>
              <w:tabs>
                <w:tab w:val="left" w:pos="8550"/>
              </w:tabs>
              <w:jc w:val="center"/>
              <w:rPr>
                <w:szCs w:val="24"/>
              </w:rPr>
            </w:pPr>
            <w:r w:rsidRPr="00827138">
              <w:rPr>
                <w:szCs w:val="24"/>
              </w:rPr>
              <w:t>2.</w:t>
            </w:r>
            <w:r w:rsidR="001A40A3" w:rsidRPr="00827138">
              <w:rPr>
                <w:szCs w:val="24"/>
              </w:rPr>
              <w:t>8</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AF2D50A" w:rsidR="00F5154C" w:rsidRPr="00827138" w:rsidRDefault="00BB3FCD" w:rsidP="003764F4">
            <w:pPr>
              <w:tabs>
                <w:tab w:val="left" w:pos="8550"/>
              </w:tabs>
              <w:jc w:val="center"/>
              <w:rPr>
                <w:szCs w:val="24"/>
              </w:rPr>
            </w:pPr>
            <w:r w:rsidRPr="00827138">
              <w:rPr>
                <w:szCs w:val="24"/>
              </w:rPr>
              <w:t>2.</w:t>
            </w:r>
            <w:r w:rsidR="001A40A3" w:rsidRPr="00827138">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C69DAA3" w:rsidR="00F5154C" w:rsidRPr="00827138" w:rsidRDefault="0011628E" w:rsidP="003764F4">
            <w:pPr>
              <w:tabs>
                <w:tab w:val="left" w:pos="8550"/>
              </w:tabs>
              <w:jc w:val="center"/>
              <w:rPr>
                <w:szCs w:val="24"/>
              </w:rPr>
            </w:pPr>
            <w:r w:rsidRPr="00827138">
              <w:rPr>
                <w:szCs w:val="24"/>
              </w:rPr>
              <w:t>2.</w:t>
            </w:r>
            <w:r w:rsidR="001A40A3" w:rsidRPr="00827138">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A600934" w:rsidR="00F5154C" w:rsidRPr="00827138" w:rsidRDefault="009C42E8" w:rsidP="003764F4">
            <w:pPr>
              <w:tabs>
                <w:tab w:val="left" w:pos="8550"/>
              </w:tabs>
              <w:jc w:val="center"/>
              <w:rPr>
                <w:szCs w:val="24"/>
              </w:rPr>
            </w:pPr>
            <w:r w:rsidRPr="00827138">
              <w:rPr>
                <w:szCs w:val="24"/>
              </w:rPr>
              <w:t>3.</w:t>
            </w:r>
            <w:r w:rsidR="001A40A3" w:rsidRPr="00827138">
              <w:rPr>
                <w:szCs w:val="24"/>
              </w:rPr>
              <w:t>7</w:t>
            </w:r>
          </w:p>
        </w:tc>
      </w:tr>
      <w:tr w:rsidR="00F5154C" w:rsidRPr="00827138"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827138" w:rsidRDefault="00F5154C" w:rsidP="003764F4">
            <w:pPr>
              <w:tabs>
                <w:tab w:val="left" w:pos="8550"/>
              </w:tabs>
              <w:rPr>
                <w:szCs w:val="24"/>
              </w:rPr>
            </w:pPr>
            <w:r w:rsidRPr="00827138">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4E52AA12" w:rsidR="00F5154C" w:rsidRPr="00827138" w:rsidRDefault="00BB3FCD" w:rsidP="003764F4">
            <w:pPr>
              <w:tabs>
                <w:tab w:val="left" w:pos="8550"/>
              </w:tabs>
              <w:jc w:val="center"/>
              <w:rPr>
                <w:szCs w:val="24"/>
              </w:rPr>
            </w:pPr>
            <w:r w:rsidRPr="00827138">
              <w:rPr>
                <w:szCs w:val="24"/>
              </w:rPr>
              <w:t>0.</w:t>
            </w:r>
            <w:r w:rsidR="001A40A3" w:rsidRPr="00827138">
              <w:rPr>
                <w:szCs w:val="24"/>
              </w:rPr>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CE11AAB" w:rsidR="00F5154C" w:rsidRPr="00827138" w:rsidRDefault="00264CCF" w:rsidP="003764F4">
            <w:pPr>
              <w:tabs>
                <w:tab w:val="left" w:pos="8550"/>
              </w:tabs>
              <w:jc w:val="center"/>
              <w:rPr>
                <w:szCs w:val="24"/>
              </w:rPr>
            </w:pPr>
            <w:r w:rsidRPr="00827138">
              <w:rPr>
                <w:szCs w:val="24"/>
              </w:rPr>
              <w:t>1</w:t>
            </w:r>
            <w:r w:rsidR="001A40A3" w:rsidRPr="00827138">
              <w:rPr>
                <w:szCs w:val="24"/>
              </w:rPr>
              <w:t>5</w:t>
            </w:r>
            <w:r w:rsidR="0008341B" w:rsidRPr="00827138">
              <w:rPr>
                <w:szCs w:val="24"/>
              </w:rPr>
              <w:t>.4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06EB592" w:rsidR="00F5154C" w:rsidRPr="00827138" w:rsidRDefault="00B944E6" w:rsidP="003764F4">
            <w:pPr>
              <w:tabs>
                <w:tab w:val="left" w:pos="8550"/>
              </w:tabs>
              <w:jc w:val="center"/>
              <w:rPr>
                <w:szCs w:val="24"/>
              </w:rPr>
            </w:pPr>
            <w:r w:rsidRPr="00827138">
              <w:rPr>
                <w:szCs w:val="24"/>
              </w:rPr>
              <w:t>1</w:t>
            </w:r>
            <w:r w:rsidR="001A40A3" w:rsidRPr="00827138">
              <w:rPr>
                <w:szCs w:val="24"/>
              </w:rPr>
              <w:t>7.4</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5D5C7A85" w:rsidR="00F5154C" w:rsidRPr="00827138" w:rsidRDefault="001A40A3" w:rsidP="003764F4">
            <w:pPr>
              <w:tabs>
                <w:tab w:val="left" w:pos="8550"/>
              </w:tabs>
              <w:jc w:val="center"/>
              <w:rPr>
                <w:szCs w:val="24"/>
              </w:rPr>
            </w:pPr>
            <w:r w:rsidRPr="00827138">
              <w:rPr>
                <w:szCs w:val="24"/>
              </w:rPr>
              <w:t>9.5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8D6D087" w:rsidR="00F5154C" w:rsidRPr="00827138" w:rsidRDefault="001A40A3" w:rsidP="003764F4">
            <w:pPr>
              <w:tabs>
                <w:tab w:val="left" w:pos="8550"/>
              </w:tabs>
              <w:jc w:val="center"/>
              <w:rPr>
                <w:szCs w:val="24"/>
              </w:rPr>
            </w:pPr>
            <w:r w:rsidRPr="00827138">
              <w:rPr>
                <w:szCs w:val="24"/>
              </w:rPr>
              <w:t>4.4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785460E0" w:rsidR="00F5154C" w:rsidRPr="00827138" w:rsidRDefault="001A40A3" w:rsidP="003764F4">
            <w:pPr>
              <w:tabs>
                <w:tab w:val="left" w:pos="8550"/>
              </w:tabs>
              <w:jc w:val="center"/>
              <w:rPr>
                <w:szCs w:val="24"/>
              </w:rPr>
            </w:pPr>
            <w:r w:rsidRPr="00827138">
              <w:rPr>
                <w:szCs w:val="24"/>
              </w:rPr>
              <w:t>3.0</w:t>
            </w:r>
          </w:p>
        </w:tc>
      </w:tr>
      <w:tr w:rsidR="00F5154C" w:rsidRPr="00827138"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827138" w:rsidRDefault="00F5154C" w:rsidP="003764F4">
            <w:pPr>
              <w:tabs>
                <w:tab w:val="left" w:pos="8550"/>
              </w:tabs>
            </w:pPr>
            <w:r w:rsidRPr="00827138">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4B4E1A18" w:rsidR="00F5154C" w:rsidRPr="00827138" w:rsidRDefault="00B67DE4" w:rsidP="003764F4">
            <w:pPr>
              <w:tabs>
                <w:tab w:val="left" w:pos="8550"/>
              </w:tabs>
              <w:jc w:val="center"/>
            </w:pPr>
            <w:r w:rsidRPr="00827138">
              <w:t>1</w:t>
            </w:r>
            <w:r w:rsidR="00BC5863" w:rsidRPr="00827138">
              <w:t>.</w:t>
            </w:r>
            <w:r w:rsidR="001A40A3" w:rsidRPr="00827138">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3AA4303" w:rsidR="00F5154C" w:rsidRPr="00827138" w:rsidRDefault="001A40A3" w:rsidP="003764F4">
            <w:pPr>
              <w:tabs>
                <w:tab w:val="left" w:pos="8550"/>
              </w:tabs>
              <w:jc w:val="center"/>
            </w:pPr>
            <w:r w:rsidRPr="00827138">
              <w:t>4.8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3D103380" w:rsidR="00F5154C" w:rsidRPr="00827138" w:rsidRDefault="001A40A3" w:rsidP="003764F4">
            <w:pPr>
              <w:tabs>
                <w:tab w:val="left" w:pos="8550"/>
              </w:tabs>
              <w:jc w:val="center"/>
            </w:pPr>
            <w:r w:rsidRPr="00827138">
              <w:t>2.0</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2CCA1D14" w:rsidR="00F5154C" w:rsidRPr="00827138" w:rsidRDefault="009F11D1" w:rsidP="003764F4">
            <w:pPr>
              <w:tabs>
                <w:tab w:val="left" w:pos="8550"/>
              </w:tabs>
              <w:jc w:val="center"/>
            </w:pPr>
            <w:r w:rsidRPr="00827138">
              <w:t>-</w:t>
            </w:r>
            <w:r w:rsidR="001A40A3" w:rsidRPr="00827138">
              <w:t>2</w:t>
            </w:r>
            <w:r w:rsidR="00B944E6" w:rsidRPr="00827138">
              <w:t>.</w:t>
            </w:r>
            <w:r w:rsidR="0008341B" w:rsidRPr="00827138">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E6B4F1A" w:rsidR="00F5154C" w:rsidRPr="00827138" w:rsidRDefault="008333CF" w:rsidP="003764F4">
            <w:pPr>
              <w:tabs>
                <w:tab w:val="left" w:pos="8550"/>
              </w:tabs>
              <w:jc w:val="center"/>
            </w:pPr>
            <w:r w:rsidRPr="00827138">
              <w:t>-</w:t>
            </w:r>
            <w:r w:rsidR="001A40A3" w:rsidRPr="00827138">
              <w:t>5.</w:t>
            </w:r>
            <w:r w:rsidR="00BC5863" w:rsidRPr="00827138">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CF9F7CC" w:rsidR="00F5154C" w:rsidRPr="00827138" w:rsidRDefault="008F0235" w:rsidP="003764F4">
            <w:pPr>
              <w:tabs>
                <w:tab w:val="left" w:pos="8550"/>
              </w:tabs>
              <w:jc w:val="center"/>
            </w:pPr>
            <w:r w:rsidRPr="00827138">
              <w:t>-</w:t>
            </w:r>
            <w:r w:rsidR="00ED015C" w:rsidRPr="00827138">
              <w:t>5.</w:t>
            </w:r>
            <w:r w:rsidR="00BC5863" w:rsidRPr="00827138">
              <w:t>1</w:t>
            </w:r>
          </w:p>
        </w:tc>
      </w:tr>
    </w:tbl>
    <w:p w14:paraId="578C402E" w14:textId="77777777" w:rsidR="00827138" w:rsidRDefault="00B41B8C" w:rsidP="003764F4">
      <w:pPr>
        <w:tabs>
          <w:tab w:val="left" w:pos="8550"/>
        </w:tabs>
        <w:rPr>
          <w:sz w:val="16"/>
          <w:szCs w:val="24"/>
        </w:rPr>
      </w:pPr>
      <w:r w:rsidRPr="00827138">
        <w:rPr>
          <w:sz w:val="16"/>
          <w:szCs w:val="24"/>
        </w:rPr>
        <w:t xml:space="preserve">S&amp;P 500, </w:t>
      </w:r>
      <w:r w:rsidR="006063C9" w:rsidRPr="00827138">
        <w:rPr>
          <w:sz w:val="16"/>
          <w:szCs w:val="24"/>
        </w:rPr>
        <w:t xml:space="preserve">Dow Jones Global ex-US, </w:t>
      </w:r>
      <w:r w:rsidRPr="00827138">
        <w:rPr>
          <w:sz w:val="16"/>
          <w:szCs w:val="24"/>
        </w:rPr>
        <w:t xml:space="preserve">Gold, Bloomberg Commodity Index returns exclude reinvested dividends (gold does not pay a dividend) </w:t>
      </w:r>
    </w:p>
    <w:p w14:paraId="67FFD778" w14:textId="77777777" w:rsidR="00827138" w:rsidRDefault="00B41B8C" w:rsidP="003764F4">
      <w:pPr>
        <w:tabs>
          <w:tab w:val="left" w:pos="8550"/>
        </w:tabs>
        <w:rPr>
          <w:sz w:val="16"/>
          <w:szCs w:val="24"/>
        </w:rPr>
      </w:pPr>
      <w:r w:rsidRPr="00827138">
        <w:rPr>
          <w:sz w:val="16"/>
          <w:szCs w:val="24"/>
        </w:rPr>
        <w:t xml:space="preserve">and the three-, five-, and 10-year returns are annualized; and the 10-year Treasury Note is simply the yield at the close of the day on each of </w:t>
      </w:r>
    </w:p>
    <w:p w14:paraId="5E61298C" w14:textId="3A86FF60" w:rsidR="00B41B8C" w:rsidRPr="00827138" w:rsidRDefault="00B41B8C" w:rsidP="003764F4">
      <w:pPr>
        <w:tabs>
          <w:tab w:val="left" w:pos="8550"/>
        </w:tabs>
        <w:rPr>
          <w:sz w:val="16"/>
          <w:szCs w:val="24"/>
        </w:rPr>
      </w:pPr>
      <w:r w:rsidRPr="00827138">
        <w:rPr>
          <w:sz w:val="16"/>
          <w:szCs w:val="24"/>
        </w:rPr>
        <w:t>the historical time periods.</w:t>
      </w:r>
      <w:r w:rsidR="00F80378" w:rsidRPr="00827138">
        <w:rPr>
          <w:sz w:val="16"/>
          <w:szCs w:val="24"/>
        </w:rPr>
        <w:t xml:space="preserve"> </w:t>
      </w:r>
    </w:p>
    <w:p w14:paraId="5083B7E6" w14:textId="44B231E3" w:rsidR="00B41B8C" w:rsidRPr="00827138" w:rsidRDefault="00B41B8C" w:rsidP="003764F4">
      <w:pPr>
        <w:tabs>
          <w:tab w:val="left" w:pos="8550"/>
        </w:tabs>
        <w:rPr>
          <w:sz w:val="16"/>
          <w:szCs w:val="24"/>
        </w:rPr>
      </w:pPr>
      <w:r w:rsidRPr="00827138">
        <w:rPr>
          <w:sz w:val="16"/>
          <w:szCs w:val="24"/>
        </w:rPr>
        <w:t xml:space="preserve">Sources: Yahoo! Finance, </w:t>
      </w:r>
      <w:r w:rsidR="00CF0FAD" w:rsidRPr="00827138">
        <w:rPr>
          <w:sz w:val="16"/>
          <w:szCs w:val="24"/>
        </w:rPr>
        <w:t>MarketWatch</w:t>
      </w:r>
      <w:r w:rsidRPr="00827138">
        <w:rPr>
          <w:sz w:val="16"/>
          <w:szCs w:val="24"/>
        </w:rPr>
        <w:t>, djindexes.com, London Bullion Market Association.</w:t>
      </w:r>
    </w:p>
    <w:p w14:paraId="502EFC39" w14:textId="19AC0F5F" w:rsidR="003646AE" w:rsidRPr="00827138" w:rsidRDefault="00B41B8C" w:rsidP="003764F4">
      <w:pPr>
        <w:tabs>
          <w:tab w:val="left" w:pos="8550"/>
        </w:tabs>
        <w:rPr>
          <w:sz w:val="16"/>
          <w:szCs w:val="24"/>
        </w:rPr>
      </w:pPr>
      <w:r w:rsidRPr="00827138">
        <w:rPr>
          <w:sz w:val="16"/>
          <w:szCs w:val="24"/>
        </w:rPr>
        <w:t>Past performance is no guarantee of future results. Indices are unmanaged and cannot be invested into directly. N/A means not applicable.</w:t>
      </w:r>
    </w:p>
    <w:p w14:paraId="24FB093E" w14:textId="77777777" w:rsidR="00C410AA" w:rsidRPr="00827138" w:rsidRDefault="00C410AA" w:rsidP="003764F4">
      <w:pPr>
        <w:tabs>
          <w:tab w:val="left" w:pos="-3150"/>
          <w:tab w:val="left" w:pos="8550"/>
        </w:tabs>
        <w:rPr>
          <w:sz w:val="24"/>
          <w:szCs w:val="24"/>
        </w:rPr>
      </w:pPr>
    </w:p>
    <w:p w14:paraId="44BE18C3" w14:textId="235ED6D9" w:rsidR="000F38BB" w:rsidRPr="00827138" w:rsidRDefault="00A37F58" w:rsidP="003764F4">
      <w:pPr>
        <w:rPr>
          <w:color w:val="000000" w:themeColor="text1"/>
          <w:sz w:val="24"/>
          <w:szCs w:val="24"/>
        </w:rPr>
      </w:pPr>
      <w:r w:rsidRPr="00827138">
        <w:rPr>
          <w:b/>
          <w:caps/>
          <w:color w:val="35DB3F"/>
          <w:sz w:val="24"/>
          <w:szCs w:val="24"/>
        </w:rPr>
        <w:t xml:space="preserve">the secure act may affect your retirement and </w:t>
      </w:r>
      <w:r w:rsidR="00C06488" w:rsidRPr="00827138">
        <w:rPr>
          <w:b/>
          <w:caps/>
          <w:color w:val="35DB3F"/>
          <w:sz w:val="24"/>
          <w:szCs w:val="24"/>
        </w:rPr>
        <w:t xml:space="preserve">your </w:t>
      </w:r>
      <w:r w:rsidRPr="00827138">
        <w:rPr>
          <w:b/>
          <w:caps/>
          <w:color w:val="35DB3F"/>
          <w:sz w:val="24"/>
          <w:szCs w:val="24"/>
        </w:rPr>
        <w:t>legacy</w:t>
      </w:r>
      <w:r w:rsidR="00935409" w:rsidRPr="00827138">
        <w:rPr>
          <w:b/>
          <w:caps/>
          <w:color w:val="35DB3F"/>
          <w:sz w:val="24"/>
          <w:szCs w:val="24"/>
        </w:rPr>
        <w:t xml:space="preserve"> planning…</w:t>
      </w:r>
      <w:r w:rsidR="00935409" w:rsidRPr="00827138">
        <w:rPr>
          <w:color w:val="000000" w:themeColor="text1"/>
          <w:sz w:val="24"/>
          <w:szCs w:val="24"/>
        </w:rPr>
        <w:t>La</w:t>
      </w:r>
      <w:r w:rsidR="006F1FF8">
        <w:rPr>
          <w:color w:val="000000" w:themeColor="text1"/>
          <w:sz w:val="24"/>
          <w:szCs w:val="24"/>
        </w:rPr>
        <w:t>st week, reports indicated</w:t>
      </w:r>
      <w:r w:rsidR="00835B5D" w:rsidRPr="00827138">
        <w:rPr>
          <w:color w:val="000000" w:themeColor="text1"/>
          <w:sz w:val="24"/>
          <w:szCs w:val="24"/>
        </w:rPr>
        <w:t xml:space="preserve"> the</w:t>
      </w:r>
      <w:r w:rsidR="000F38BB" w:rsidRPr="00827138">
        <w:rPr>
          <w:color w:val="000000" w:themeColor="text1"/>
          <w:sz w:val="24"/>
          <w:szCs w:val="24"/>
        </w:rPr>
        <w:t xml:space="preserve"> </w:t>
      </w:r>
      <w:r w:rsidR="00835B5D" w:rsidRPr="00827138">
        <w:rPr>
          <w:color w:val="000000" w:themeColor="text1"/>
          <w:sz w:val="24"/>
          <w:szCs w:val="24"/>
        </w:rPr>
        <w:t>‘</w:t>
      </w:r>
      <w:r w:rsidR="00973C5C" w:rsidRPr="00827138">
        <w:rPr>
          <w:color w:val="000000" w:themeColor="text1"/>
          <w:sz w:val="24"/>
          <w:szCs w:val="24"/>
        </w:rPr>
        <w:t>Setting Every Community Up for Retirement Enhancement</w:t>
      </w:r>
      <w:r w:rsidR="00835B5D" w:rsidRPr="00827138">
        <w:rPr>
          <w:color w:val="000000" w:themeColor="text1"/>
          <w:sz w:val="24"/>
          <w:szCs w:val="24"/>
        </w:rPr>
        <w:t>’</w:t>
      </w:r>
      <w:r w:rsidR="00973C5C" w:rsidRPr="00827138">
        <w:rPr>
          <w:color w:val="000000" w:themeColor="text1"/>
          <w:sz w:val="24"/>
          <w:szCs w:val="24"/>
        </w:rPr>
        <w:t xml:space="preserve"> (SECURE) Act </w:t>
      </w:r>
      <w:r w:rsidR="00835B5D" w:rsidRPr="00827138">
        <w:rPr>
          <w:color w:val="000000" w:themeColor="text1"/>
          <w:sz w:val="24"/>
          <w:szCs w:val="24"/>
        </w:rPr>
        <w:t>was</w:t>
      </w:r>
      <w:r w:rsidR="00973C5C" w:rsidRPr="00827138">
        <w:rPr>
          <w:color w:val="000000" w:themeColor="text1"/>
          <w:sz w:val="24"/>
          <w:szCs w:val="24"/>
        </w:rPr>
        <w:t xml:space="preserve"> attached to the federal spending bill</w:t>
      </w:r>
      <w:r w:rsidR="006F1FF8">
        <w:rPr>
          <w:color w:val="000000" w:themeColor="text1"/>
          <w:sz w:val="24"/>
          <w:szCs w:val="24"/>
        </w:rPr>
        <w:t xml:space="preserve"> </w:t>
      </w:r>
      <w:r w:rsidR="00973C5C" w:rsidRPr="00827138">
        <w:rPr>
          <w:color w:val="000000" w:themeColor="text1"/>
          <w:sz w:val="24"/>
          <w:szCs w:val="24"/>
        </w:rPr>
        <w:t xml:space="preserve">President Trump signed into law on Friday. </w:t>
      </w:r>
    </w:p>
    <w:p w14:paraId="3E3D795F" w14:textId="5765F77E" w:rsidR="00973C5C" w:rsidRPr="00827138" w:rsidRDefault="00973C5C" w:rsidP="003764F4">
      <w:pPr>
        <w:rPr>
          <w:color w:val="000000" w:themeColor="text1"/>
          <w:sz w:val="24"/>
          <w:szCs w:val="24"/>
        </w:rPr>
      </w:pPr>
    </w:p>
    <w:p w14:paraId="7DD48FA3" w14:textId="08650586" w:rsidR="00973C5C" w:rsidRPr="00827138" w:rsidRDefault="00973C5C" w:rsidP="003764F4">
      <w:pPr>
        <w:rPr>
          <w:color w:val="000000" w:themeColor="text1"/>
          <w:sz w:val="24"/>
          <w:szCs w:val="24"/>
        </w:rPr>
      </w:pPr>
      <w:r w:rsidRPr="00827138">
        <w:rPr>
          <w:color w:val="000000" w:themeColor="text1"/>
          <w:sz w:val="24"/>
          <w:szCs w:val="24"/>
        </w:rPr>
        <w:t>The SECURE Act is intended to expand retirement savings opportunities</w:t>
      </w:r>
      <w:r w:rsidR="00835B5D" w:rsidRPr="00827138">
        <w:rPr>
          <w:color w:val="000000" w:themeColor="text1"/>
          <w:sz w:val="24"/>
          <w:szCs w:val="24"/>
        </w:rPr>
        <w:t>. Many of its provisions</w:t>
      </w:r>
      <w:r w:rsidRPr="00827138">
        <w:rPr>
          <w:color w:val="000000" w:themeColor="text1"/>
          <w:sz w:val="24"/>
          <w:szCs w:val="24"/>
        </w:rPr>
        <w:t xml:space="preserve"> mak</w:t>
      </w:r>
      <w:r w:rsidR="00835B5D" w:rsidRPr="00827138">
        <w:rPr>
          <w:color w:val="000000" w:themeColor="text1"/>
          <w:sz w:val="24"/>
          <w:szCs w:val="24"/>
        </w:rPr>
        <w:t>e</w:t>
      </w:r>
      <w:r w:rsidRPr="00827138">
        <w:rPr>
          <w:color w:val="000000" w:themeColor="text1"/>
          <w:sz w:val="24"/>
          <w:szCs w:val="24"/>
        </w:rPr>
        <w:t xml:space="preserve"> it easier for Americans to save </w:t>
      </w:r>
      <w:r w:rsidR="00812312" w:rsidRPr="00827138">
        <w:rPr>
          <w:color w:val="000000" w:themeColor="text1"/>
          <w:sz w:val="24"/>
          <w:szCs w:val="24"/>
        </w:rPr>
        <w:t>more</w:t>
      </w:r>
      <w:r w:rsidRPr="00827138">
        <w:rPr>
          <w:color w:val="000000" w:themeColor="text1"/>
          <w:sz w:val="24"/>
          <w:szCs w:val="24"/>
        </w:rPr>
        <w:t xml:space="preserve"> </w:t>
      </w:r>
      <w:r w:rsidR="00835B5D" w:rsidRPr="00827138">
        <w:rPr>
          <w:color w:val="000000" w:themeColor="text1"/>
          <w:sz w:val="24"/>
          <w:szCs w:val="24"/>
        </w:rPr>
        <w:t>for</w:t>
      </w:r>
      <w:r w:rsidRPr="00827138">
        <w:rPr>
          <w:color w:val="000000" w:themeColor="text1"/>
          <w:sz w:val="24"/>
          <w:szCs w:val="24"/>
        </w:rPr>
        <w:t xml:space="preserve"> retirement and</w:t>
      </w:r>
      <w:r w:rsidR="00835B5D" w:rsidRPr="00827138">
        <w:rPr>
          <w:color w:val="000000" w:themeColor="text1"/>
          <w:sz w:val="24"/>
          <w:szCs w:val="24"/>
        </w:rPr>
        <w:t>, also,</w:t>
      </w:r>
      <w:r w:rsidRPr="00827138">
        <w:rPr>
          <w:color w:val="000000" w:themeColor="text1"/>
          <w:sz w:val="24"/>
          <w:szCs w:val="24"/>
        </w:rPr>
        <w:t xml:space="preserve"> </w:t>
      </w:r>
      <w:r w:rsidR="00835B5D" w:rsidRPr="00827138">
        <w:rPr>
          <w:color w:val="000000" w:themeColor="text1"/>
          <w:sz w:val="24"/>
          <w:szCs w:val="24"/>
        </w:rPr>
        <w:t xml:space="preserve">to </w:t>
      </w:r>
      <w:r w:rsidRPr="00827138">
        <w:rPr>
          <w:color w:val="000000" w:themeColor="text1"/>
          <w:sz w:val="24"/>
          <w:szCs w:val="24"/>
        </w:rPr>
        <w:t xml:space="preserve">convert their savings into </w:t>
      </w:r>
      <w:r w:rsidR="00835B5D" w:rsidRPr="00827138">
        <w:rPr>
          <w:color w:val="000000" w:themeColor="text1"/>
          <w:sz w:val="24"/>
          <w:szCs w:val="24"/>
        </w:rPr>
        <w:t xml:space="preserve">income </w:t>
      </w:r>
      <w:r w:rsidR="00812312" w:rsidRPr="00827138">
        <w:rPr>
          <w:color w:val="000000" w:themeColor="text1"/>
          <w:sz w:val="24"/>
          <w:szCs w:val="24"/>
        </w:rPr>
        <w:t>for</w:t>
      </w:r>
      <w:r w:rsidR="00835B5D" w:rsidRPr="00827138">
        <w:rPr>
          <w:color w:val="000000" w:themeColor="text1"/>
          <w:sz w:val="24"/>
          <w:szCs w:val="24"/>
        </w:rPr>
        <w:t xml:space="preserve"> retirement. </w:t>
      </w:r>
      <w:r w:rsidR="00812312" w:rsidRPr="00827138">
        <w:rPr>
          <w:color w:val="000000" w:themeColor="text1"/>
          <w:sz w:val="24"/>
          <w:szCs w:val="24"/>
        </w:rPr>
        <w:t>The Act will</w:t>
      </w:r>
      <w:r w:rsidR="00835B5D" w:rsidRPr="00827138">
        <w:rPr>
          <w:color w:val="000000" w:themeColor="text1"/>
          <w:sz w:val="24"/>
          <w:szCs w:val="24"/>
        </w:rPr>
        <w:t xml:space="preserve"> </w:t>
      </w:r>
      <w:r w:rsidR="0097275A" w:rsidRPr="00827138">
        <w:rPr>
          <w:color w:val="000000" w:themeColor="text1"/>
          <w:sz w:val="24"/>
          <w:szCs w:val="24"/>
        </w:rPr>
        <w:t xml:space="preserve">change IRA rules in some significant ways. For instance, </w:t>
      </w:r>
      <w:r w:rsidR="00812312" w:rsidRPr="0099115C">
        <w:rPr>
          <w:i/>
          <w:iCs/>
          <w:color w:val="000000" w:themeColor="text1"/>
          <w:sz w:val="24"/>
          <w:szCs w:val="24"/>
        </w:rPr>
        <w:t>Drinker Biddle</w:t>
      </w:r>
      <w:r w:rsidR="00812312" w:rsidRPr="0099115C">
        <w:rPr>
          <w:color w:val="000000" w:themeColor="text1"/>
          <w:sz w:val="24"/>
          <w:szCs w:val="24"/>
        </w:rPr>
        <w:t xml:space="preserve"> and </w:t>
      </w:r>
      <w:r w:rsidR="00812312" w:rsidRPr="0099115C">
        <w:rPr>
          <w:i/>
          <w:iCs/>
          <w:color w:val="000000" w:themeColor="text1"/>
          <w:sz w:val="24"/>
          <w:szCs w:val="24"/>
        </w:rPr>
        <w:t>Barron’s</w:t>
      </w:r>
      <w:r w:rsidR="00451898">
        <w:rPr>
          <w:color w:val="000000" w:themeColor="text1"/>
          <w:sz w:val="24"/>
          <w:szCs w:val="24"/>
        </w:rPr>
        <w:t xml:space="preserve"> reported</w:t>
      </w:r>
      <w:r w:rsidR="0097275A" w:rsidRPr="00827138">
        <w:rPr>
          <w:color w:val="000000" w:themeColor="text1"/>
          <w:sz w:val="24"/>
          <w:szCs w:val="24"/>
        </w:rPr>
        <w:t>:</w:t>
      </w:r>
    </w:p>
    <w:p w14:paraId="03D3AD01" w14:textId="77777777" w:rsidR="00835B5D" w:rsidRPr="00827138" w:rsidRDefault="00835B5D" w:rsidP="003764F4">
      <w:pPr>
        <w:rPr>
          <w:color w:val="000000" w:themeColor="text1"/>
          <w:sz w:val="24"/>
          <w:szCs w:val="24"/>
        </w:rPr>
      </w:pPr>
    </w:p>
    <w:p w14:paraId="41D4B95C" w14:textId="26918C1F" w:rsidR="00835B5D" w:rsidRPr="00827138" w:rsidRDefault="0097275A" w:rsidP="003764F4">
      <w:pPr>
        <w:pStyle w:val="ListParagraph"/>
        <w:numPr>
          <w:ilvl w:val="0"/>
          <w:numId w:val="22"/>
        </w:numPr>
        <w:rPr>
          <w:color w:val="000000" w:themeColor="text1"/>
          <w:sz w:val="24"/>
          <w:szCs w:val="24"/>
        </w:rPr>
      </w:pPr>
      <w:r w:rsidRPr="00827138">
        <w:rPr>
          <w:bCs/>
          <w:color w:val="000000" w:themeColor="text1"/>
          <w:sz w:val="24"/>
          <w:szCs w:val="24"/>
        </w:rPr>
        <w:t>Contribute to IRA accounts at any age</w:t>
      </w:r>
      <w:r w:rsidR="00835B5D" w:rsidRPr="00827138">
        <w:rPr>
          <w:color w:val="000000" w:themeColor="text1"/>
          <w:sz w:val="24"/>
          <w:szCs w:val="24"/>
        </w:rPr>
        <w:t xml:space="preserve">. In the past, </w:t>
      </w:r>
      <w:r w:rsidRPr="00827138">
        <w:rPr>
          <w:color w:val="000000" w:themeColor="text1"/>
          <w:sz w:val="24"/>
          <w:szCs w:val="24"/>
        </w:rPr>
        <w:t xml:space="preserve">Americans had to stop contributing to IRAs at age </w:t>
      </w:r>
      <w:r w:rsidR="00835B5D" w:rsidRPr="00827138">
        <w:rPr>
          <w:color w:val="000000" w:themeColor="text1"/>
          <w:sz w:val="24"/>
          <w:szCs w:val="24"/>
        </w:rPr>
        <w:t xml:space="preserve">70 ½. </w:t>
      </w:r>
    </w:p>
    <w:p w14:paraId="3EF2F618" w14:textId="38B93BB5" w:rsidR="0097275A" w:rsidRPr="00827138" w:rsidRDefault="0097275A" w:rsidP="003764F4">
      <w:pPr>
        <w:pStyle w:val="ListParagraph"/>
        <w:numPr>
          <w:ilvl w:val="0"/>
          <w:numId w:val="22"/>
        </w:numPr>
        <w:rPr>
          <w:color w:val="000000" w:themeColor="text1"/>
          <w:sz w:val="24"/>
          <w:szCs w:val="24"/>
        </w:rPr>
      </w:pPr>
      <w:r w:rsidRPr="00827138">
        <w:rPr>
          <w:bCs/>
          <w:color w:val="000000" w:themeColor="text1"/>
          <w:sz w:val="24"/>
          <w:szCs w:val="24"/>
        </w:rPr>
        <w:t>Begin taking required minimum distributions (RMDs) at age 72</w:t>
      </w:r>
      <w:r w:rsidRPr="00827138">
        <w:rPr>
          <w:color w:val="000000" w:themeColor="text1"/>
          <w:sz w:val="24"/>
          <w:szCs w:val="24"/>
        </w:rPr>
        <w:t>. The age for RMDs was pushed to 72 from age 70 ½.</w:t>
      </w:r>
      <w:r w:rsidR="00812312" w:rsidRPr="00827138">
        <w:rPr>
          <w:color w:val="000000" w:themeColor="text1"/>
          <w:sz w:val="24"/>
          <w:szCs w:val="24"/>
        </w:rPr>
        <w:t xml:space="preserve"> </w:t>
      </w:r>
    </w:p>
    <w:p w14:paraId="3084F161" w14:textId="77777777" w:rsidR="0097275A" w:rsidRPr="00827138" w:rsidRDefault="0097275A" w:rsidP="003764F4">
      <w:pPr>
        <w:rPr>
          <w:color w:val="000000" w:themeColor="text1"/>
          <w:sz w:val="24"/>
          <w:szCs w:val="24"/>
        </w:rPr>
      </w:pPr>
    </w:p>
    <w:p w14:paraId="77250F94" w14:textId="35345C4E" w:rsidR="00835B5D" w:rsidRPr="00827138" w:rsidRDefault="0097275A" w:rsidP="003764F4">
      <w:pPr>
        <w:rPr>
          <w:color w:val="000000" w:themeColor="text1"/>
          <w:sz w:val="24"/>
          <w:szCs w:val="24"/>
        </w:rPr>
      </w:pPr>
      <w:r w:rsidRPr="00827138">
        <w:rPr>
          <w:color w:val="000000" w:themeColor="text1"/>
          <w:sz w:val="24"/>
          <w:szCs w:val="24"/>
        </w:rPr>
        <w:t xml:space="preserve">The Act also </w:t>
      </w:r>
      <w:r w:rsidR="007F4CBD" w:rsidRPr="00827138">
        <w:rPr>
          <w:color w:val="000000" w:themeColor="text1"/>
          <w:sz w:val="24"/>
          <w:szCs w:val="24"/>
        </w:rPr>
        <w:t xml:space="preserve">changes post-death IRA distribution rules, eliminating </w:t>
      </w:r>
      <w:r w:rsidRPr="00827138">
        <w:rPr>
          <w:color w:val="000000" w:themeColor="text1"/>
          <w:sz w:val="24"/>
          <w:szCs w:val="24"/>
        </w:rPr>
        <w:t>stretch IRA estate planning strateg</w:t>
      </w:r>
      <w:r w:rsidR="007F4CBD" w:rsidRPr="00827138">
        <w:rPr>
          <w:color w:val="000000" w:themeColor="text1"/>
          <w:sz w:val="24"/>
          <w:szCs w:val="24"/>
        </w:rPr>
        <w:t>ies</w:t>
      </w:r>
      <w:r w:rsidRPr="00827138">
        <w:rPr>
          <w:color w:val="000000" w:themeColor="text1"/>
          <w:sz w:val="24"/>
          <w:szCs w:val="24"/>
        </w:rPr>
        <w:t xml:space="preserve">. </w:t>
      </w:r>
      <w:r w:rsidR="00135DAD" w:rsidRPr="0099115C">
        <w:rPr>
          <w:i/>
          <w:iCs/>
          <w:color w:val="000000" w:themeColor="text1"/>
          <w:sz w:val="24"/>
          <w:szCs w:val="24"/>
        </w:rPr>
        <w:t>Barron’s</w:t>
      </w:r>
      <w:r w:rsidRPr="00827138">
        <w:rPr>
          <w:color w:val="000000" w:themeColor="text1"/>
          <w:sz w:val="24"/>
          <w:szCs w:val="24"/>
        </w:rPr>
        <w:t xml:space="preserve"> explained, </w:t>
      </w:r>
      <w:r w:rsidR="00812312" w:rsidRPr="00827138">
        <w:rPr>
          <w:color w:val="000000" w:themeColor="text1"/>
          <w:sz w:val="24"/>
          <w:szCs w:val="24"/>
        </w:rPr>
        <w:t>“</w:t>
      </w:r>
      <w:r w:rsidR="00135DAD" w:rsidRPr="00827138">
        <w:rPr>
          <w:color w:val="000000" w:themeColor="text1"/>
          <w:sz w:val="24"/>
          <w:szCs w:val="24"/>
        </w:rPr>
        <w:t>Under the bill, beneficiaries of an IRA would need to draw down the account</w:t>
      </w:r>
      <w:r w:rsidR="00812312" w:rsidRPr="00827138">
        <w:rPr>
          <w:color w:val="000000" w:themeColor="text1"/>
          <w:sz w:val="24"/>
          <w:szCs w:val="24"/>
        </w:rPr>
        <w:t xml:space="preserve"> – </w:t>
      </w:r>
      <w:r w:rsidR="00135DAD" w:rsidRPr="00827138">
        <w:rPr>
          <w:color w:val="000000" w:themeColor="text1"/>
          <w:sz w:val="24"/>
          <w:szCs w:val="24"/>
        </w:rPr>
        <w:t>and pay income tax on the money</w:t>
      </w:r>
      <w:r w:rsidR="00812312" w:rsidRPr="00827138">
        <w:rPr>
          <w:color w:val="000000" w:themeColor="text1"/>
          <w:sz w:val="24"/>
          <w:szCs w:val="24"/>
        </w:rPr>
        <w:t xml:space="preserve"> – </w:t>
      </w:r>
      <w:r w:rsidR="00135DAD" w:rsidRPr="00827138">
        <w:rPr>
          <w:color w:val="000000" w:themeColor="text1"/>
          <w:sz w:val="24"/>
          <w:szCs w:val="24"/>
        </w:rPr>
        <w:t>over a decade, rather than a lifetime.</w:t>
      </w:r>
      <w:r w:rsidRPr="00827138">
        <w:rPr>
          <w:color w:val="000000" w:themeColor="text1"/>
          <w:sz w:val="24"/>
          <w:szCs w:val="24"/>
        </w:rPr>
        <w:t xml:space="preserve">” This will affect some legacy planning strategies and </w:t>
      </w:r>
      <w:r w:rsidR="00135DAD" w:rsidRPr="00827138">
        <w:rPr>
          <w:color w:val="000000" w:themeColor="text1"/>
          <w:sz w:val="24"/>
          <w:szCs w:val="24"/>
        </w:rPr>
        <w:t>necessitate</w:t>
      </w:r>
      <w:r w:rsidRPr="00827138">
        <w:rPr>
          <w:color w:val="000000" w:themeColor="text1"/>
          <w:sz w:val="24"/>
          <w:szCs w:val="24"/>
        </w:rPr>
        <w:t xml:space="preserve"> the adoption of alternative solutions. </w:t>
      </w:r>
    </w:p>
    <w:p w14:paraId="2AB2C8BC" w14:textId="77777777" w:rsidR="00812312" w:rsidRPr="00827138" w:rsidRDefault="00812312" w:rsidP="003764F4">
      <w:pPr>
        <w:rPr>
          <w:color w:val="000000" w:themeColor="text1"/>
          <w:sz w:val="24"/>
          <w:szCs w:val="24"/>
        </w:rPr>
      </w:pPr>
    </w:p>
    <w:p w14:paraId="2C3B9D3C" w14:textId="34C5F61A" w:rsidR="00812312" w:rsidRPr="00827138" w:rsidRDefault="00812312" w:rsidP="003764F4">
      <w:pPr>
        <w:rPr>
          <w:color w:val="000000" w:themeColor="text1"/>
          <w:sz w:val="24"/>
          <w:szCs w:val="24"/>
        </w:rPr>
      </w:pPr>
      <w:r w:rsidRPr="00827138">
        <w:rPr>
          <w:color w:val="000000" w:themeColor="text1"/>
          <w:sz w:val="24"/>
          <w:szCs w:val="24"/>
        </w:rPr>
        <w:t>Workplace plans may change, too</w:t>
      </w:r>
      <w:r w:rsidR="005C6545" w:rsidRPr="00827138">
        <w:rPr>
          <w:color w:val="000000" w:themeColor="text1"/>
          <w:sz w:val="24"/>
          <w:szCs w:val="24"/>
        </w:rPr>
        <w:t>.</w:t>
      </w:r>
      <w:r w:rsidRPr="00827138">
        <w:rPr>
          <w:color w:val="000000" w:themeColor="text1"/>
          <w:sz w:val="24"/>
          <w:szCs w:val="24"/>
        </w:rPr>
        <w:t xml:space="preserve"> Part-time workers are now eligible to participate in defined contribution plans as long as certain criteria are met. The Act </w:t>
      </w:r>
      <w:r w:rsidR="007254E2" w:rsidRPr="00827138">
        <w:rPr>
          <w:color w:val="000000" w:themeColor="text1"/>
          <w:sz w:val="24"/>
          <w:szCs w:val="24"/>
        </w:rPr>
        <w:t xml:space="preserve">also </w:t>
      </w:r>
      <w:r w:rsidRPr="00827138">
        <w:rPr>
          <w:color w:val="000000" w:themeColor="text1"/>
          <w:sz w:val="24"/>
          <w:szCs w:val="24"/>
        </w:rPr>
        <w:t xml:space="preserve">made it easier for </w:t>
      </w:r>
      <w:r w:rsidR="007254E2" w:rsidRPr="00827138">
        <w:rPr>
          <w:color w:val="000000" w:themeColor="text1"/>
          <w:sz w:val="24"/>
          <w:szCs w:val="24"/>
        </w:rPr>
        <w:t xml:space="preserve">defined contribution </w:t>
      </w:r>
      <w:r w:rsidRPr="00827138">
        <w:rPr>
          <w:color w:val="000000" w:themeColor="text1"/>
          <w:sz w:val="24"/>
          <w:szCs w:val="24"/>
        </w:rPr>
        <w:t xml:space="preserve">plans of all sizes to add </w:t>
      </w:r>
      <w:r w:rsidR="007254E2" w:rsidRPr="00827138">
        <w:rPr>
          <w:color w:val="000000" w:themeColor="text1"/>
          <w:sz w:val="24"/>
          <w:szCs w:val="24"/>
        </w:rPr>
        <w:t>lifetime income</w:t>
      </w:r>
      <w:r w:rsidRPr="00827138">
        <w:rPr>
          <w:color w:val="000000" w:themeColor="text1"/>
          <w:sz w:val="24"/>
          <w:szCs w:val="24"/>
        </w:rPr>
        <w:t xml:space="preserve"> options to plan investment lineup</w:t>
      </w:r>
      <w:r w:rsidRPr="0099115C">
        <w:rPr>
          <w:color w:val="000000" w:themeColor="text1"/>
          <w:sz w:val="24"/>
          <w:szCs w:val="24"/>
        </w:rPr>
        <w:t xml:space="preserve">s. </w:t>
      </w:r>
    </w:p>
    <w:p w14:paraId="0E73D8E2" w14:textId="77777777" w:rsidR="00812312" w:rsidRPr="00827138" w:rsidRDefault="00812312" w:rsidP="003764F4">
      <w:pPr>
        <w:rPr>
          <w:color w:val="000000" w:themeColor="text1"/>
          <w:sz w:val="24"/>
          <w:szCs w:val="24"/>
        </w:rPr>
      </w:pPr>
    </w:p>
    <w:p w14:paraId="45561CE2" w14:textId="297F0E27" w:rsidR="0097275A" w:rsidRPr="00827138" w:rsidRDefault="007254E2" w:rsidP="003764F4">
      <w:pPr>
        <w:rPr>
          <w:color w:val="000000" w:themeColor="text1"/>
          <w:sz w:val="24"/>
          <w:szCs w:val="24"/>
        </w:rPr>
      </w:pPr>
      <w:r w:rsidRPr="00827138">
        <w:rPr>
          <w:color w:val="000000" w:themeColor="text1"/>
          <w:sz w:val="24"/>
          <w:szCs w:val="24"/>
        </w:rPr>
        <w:t>In addition, t</w:t>
      </w:r>
      <w:r w:rsidR="00812312" w:rsidRPr="00827138">
        <w:rPr>
          <w:color w:val="000000" w:themeColor="text1"/>
          <w:sz w:val="24"/>
          <w:szCs w:val="24"/>
        </w:rPr>
        <w:t>he incentive for s</w:t>
      </w:r>
      <w:r w:rsidR="005C6545" w:rsidRPr="00827138">
        <w:rPr>
          <w:color w:val="000000" w:themeColor="text1"/>
          <w:sz w:val="24"/>
          <w:szCs w:val="24"/>
        </w:rPr>
        <w:t>mall</w:t>
      </w:r>
      <w:r w:rsidR="00812312" w:rsidRPr="00827138">
        <w:rPr>
          <w:color w:val="000000" w:themeColor="text1"/>
          <w:sz w:val="24"/>
          <w:szCs w:val="24"/>
        </w:rPr>
        <w:t>er</w:t>
      </w:r>
      <w:r w:rsidR="005C6545" w:rsidRPr="00827138">
        <w:rPr>
          <w:color w:val="000000" w:themeColor="text1"/>
          <w:sz w:val="24"/>
          <w:szCs w:val="24"/>
        </w:rPr>
        <w:t xml:space="preserve"> business owners </w:t>
      </w:r>
      <w:r w:rsidR="00812312" w:rsidRPr="00827138">
        <w:rPr>
          <w:color w:val="000000" w:themeColor="text1"/>
          <w:sz w:val="24"/>
          <w:szCs w:val="24"/>
        </w:rPr>
        <w:t>to establish workplace retirement plans increased. T</w:t>
      </w:r>
      <w:r w:rsidR="005C6545" w:rsidRPr="00827138">
        <w:rPr>
          <w:color w:val="000000" w:themeColor="text1"/>
          <w:sz w:val="24"/>
          <w:szCs w:val="24"/>
        </w:rPr>
        <w:t>ax credits</w:t>
      </w:r>
      <w:r w:rsidR="00812312" w:rsidRPr="00827138">
        <w:rPr>
          <w:color w:val="000000" w:themeColor="text1"/>
          <w:sz w:val="24"/>
          <w:szCs w:val="24"/>
        </w:rPr>
        <w:t>,</w:t>
      </w:r>
      <w:r w:rsidR="005C6545" w:rsidRPr="00827138">
        <w:rPr>
          <w:color w:val="000000" w:themeColor="text1"/>
          <w:sz w:val="24"/>
          <w:szCs w:val="24"/>
        </w:rPr>
        <w:t xml:space="preserve"> of up to $5,000 for three years</w:t>
      </w:r>
      <w:r w:rsidR="00812312" w:rsidRPr="00827138">
        <w:rPr>
          <w:color w:val="000000" w:themeColor="text1"/>
          <w:sz w:val="24"/>
          <w:szCs w:val="24"/>
        </w:rPr>
        <w:t>,</w:t>
      </w:r>
      <w:r w:rsidR="005C6545" w:rsidRPr="00827138">
        <w:rPr>
          <w:color w:val="000000" w:themeColor="text1"/>
          <w:sz w:val="24"/>
          <w:szCs w:val="24"/>
        </w:rPr>
        <w:t xml:space="preserve"> </w:t>
      </w:r>
      <w:r w:rsidR="00812312" w:rsidRPr="00827138">
        <w:rPr>
          <w:color w:val="000000" w:themeColor="text1"/>
          <w:sz w:val="24"/>
          <w:szCs w:val="24"/>
        </w:rPr>
        <w:t xml:space="preserve">can be claimed to </w:t>
      </w:r>
      <w:r w:rsidR="005C6545" w:rsidRPr="00827138">
        <w:rPr>
          <w:color w:val="000000" w:themeColor="text1"/>
          <w:sz w:val="24"/>
          <w:szCs w:val="24"/>
        </w:rPr>
        <w:t xml:space="preserve">offset plan start-up costs. </w:t>
      </w:r>
      <w:r w:rsidR="0097275A" w:rsidRPr="00827138">
        <w:rPr>
          <w:color w:val="000000" w:themeColor="text1"/>
          <w:sz w:val="24"/>
          <w:szCs w:val="24"/>
        </w:rPr>
        <w:t>Additional</w:t>
      </w:r>
      <w:r w:rsidR="00812312" w:rsidRPr="00827138">
        <w:rPr>
          <w:color w:val="000000" w:themeColor="text1"/>
          <w:sz w:val="24"/>
          <w:szCs w:val="24"/>
        </w:rPr>
        <w:t xml:space="preserve"> tax </w:t>
      </w:r>
      <w:r w:rsidR="0097275A" w:rsidRPr="00827138">
        <w:rPr>
          <w:color w:val="000000" w:themeColor="text1"/>
          <w:sz w:val="24"/>
          <w:szCs w:val="24"/>
        </w:rPr>
        <w:t xml:space="preserve">credits </w:t>
      </w:r>
      <w:r w:rsidRPr="00827138">
        <w:rPr>
          <w:color w:val="000000" w:themeColor="text1"/>
          <w:sz w:val="24"/>
          <w:szCs w:val="24"/>
        </w:rPr>
        <w:t>are</w:t>
      </w:r>
      <w:r w:rsidR="00812312" w:rsidRPr="00827138">
        <w:rPr>
          <w:color w:val="000000" w:themeColor="text1"/>
          <w:sz w:val="24"/>
          <w:szCs w:val="24"/>
        </w:rPr>
        <w:t xml:space="preserve"> </w:t>
      </w:r>
      <w:r w:rsidRPr="00827138">
        <w:rPr>
          <w:color w:val="000000" w:themeColor="text1"/>
          <w:sz w:val="24"/>
          <w:szCs w:val="24"/>
        </w:rPr>
        <w:t>possible</w:t>
      </w:r>
      <w:r w:rsidR="005C6545" w:rsidRPr="00827138">
        <w:rPr>
          <w:color w:val="000000" w:themeColor="text1"/>
          <w:sz w:val="24"/>
          <w:szCs w:val="24"/>
        </w:rPr>
        <w:t xml:space="preserve"> </w:t>
      </w:r>
      <w:r w:rsidR="0097275A" w:rsidRPr="00827138">
        <w:rPr>
          <w:color w:val="000000" w:themeColor="text1"/>
          <w:sz w:val="24"/>
          <w:szCs w:val="24"/>
        </w:rPr>
        <w:t xml:space="preserve">when new plans include automatic enrollment </w:t>
      </w:r>
      <w:r w:rsidR="005C6545" w:rsidRPr="00827138">
        <w:rPr>
          <w:color w:val="000000" w:themeColor="text1"/>
          <w:sz w:val="24"/>
          <w:szCs w:val="24"/>
        </w:rPr>
        <w:t>feature</w:t>
      </w:r>
      <w:r w:rsidRPr="00827138">
        <w:rPr>
          <w:color w:val="000000" w:themeColor="text1"/>
          <w:sz w:val="24"/>
          <w:szCs w:val="24"/>
        </w:rPr>
        <w:t>s</w:t>
      </w:r>
      <w:r w:rsidR="005C6545" w:rsidRPr="00827138">
        <w:rPr>
          <w:color w:val="000000" w:themeColor="text1"/>
          <w:sz w:val="24"/>
          <w:szCs w:val="24"/>
        </w:rPr>
        <w:t xml:space="preserve"> </w:t>
      </w:r>
      <w:r w:rsidR="0097275A" w:rsidRPr="00827138">
        <w:rPr>
          <w:color w:val="000000" w:themeColor="text1"/>
          <w:sz w:val="24"/>
          <w:szCs w:val="24"/>
        </w:rPr>
        <w:t>or existing plans add automatic enrollment</w:t>
      </w:r>
      <w:r w:rsidR="005C6545" w:rsidRPr="00827138">
        <w:rPr>
          <w:color w:val="000000" w:themeColor="text1"/>
          <w:sz w:val="24"/>
          <w:szCs w:val="24"/>
        </w:rPr>
        <w:t xml:space="preserve"> feature</w:t>
      </w:r>
      <w:r w:rsidRPr="00827138">
        <w:rPr>
          <w:color w:val="000000" w:themeColor="text1"/>
          <w:sz w:val="24"/>
          <w:szCs w:val="24"/>
        </w:rPr>
        <w:t>s</w:t>
      </w:r>
      <w:r w:rsidR="0097275A" w:rsidRPr="00827138">
        <w:rPr>
          <w:color w:val="000000" w:themeColor="text1"/>
          <w:sz w:val="24"/>
          <w:szCs w:val="24"/>
        </w:rPr>
        <w:t xml:space="preserve">. </w:t>
      </w:r>
    </w:p>
    <w:p w14:paraId="7E847939" w14:textId="3B2B823C" w:rsidR="00FC7557" w:rsidRPr="00827138" w:rsidRDefault="00FC7557" w:rsidP="003764F4">
      <w:pPr>
        <w:rPr>
          <w:color w:val="000000" w:themeColor="text1"/>
          <w:sz w:val="24"/>
          <w:szCs w:val="24"/>
        </w:rPr>
      </w:pPr>
    </w:p>
    <w:p w14:paraId="74F2EE10" w14:textId="164D9255" w:rsidR="00277A2F" w:rsidRPr="00827138" w:rsidRDefault="00FC7557" w:rsidP="003764F4">
      <w:pPr>
        <w:rPr>
          <w:color w:val="000000" w:themeColor="text1"/>
          <w:sz w:val="24"/>
          <w:szCs w:val="24"/>
        </w:rPr>
      </w:pPr>
      <w:r w:rsidRPr="00827138">
        <w:rPr>
          <w:color w:val="000000" w:themeColor="text1"/>
          <w:sz w:val="24"/>
          <w:szCs w:val="24"/>
        </w:rPr>
        <w:t xml:space="preserve">If you would like to discuss how the </w:t>
      </w:r>
      <w:r w:rsidR="007F2AA3" w:rsidRPr="00827138">
        <w:rPr>
          <w:color w:val="000000" w:themeColor="text1"/>
          <w:sz w:val="24"/>
          <w:szCs w:val="24"/>
        </w:rPr>
        <w:t>SECURE Act</w:t>
      </w:r>
      <w:r w:rsidRPr="00827138">
        <w:rPr>
          <w:color w:val="000000" w:themeColor="text1"/>
          <w:sz w:val="24"/>
          <w:szCs w:val="24"/>
        </w:rPr>
        <w:t xml:space="preserve"> may affect your retirement</w:t>
      </w:r>
      <w:r w:rsidR="00812312" w:rsidRPr="00827138">
        <w:rPr>
          <w:color w:val="000000" w:themeColor="text1"/>
          <w:sz w:val="24"/>
          <w:szCs w:val="24"/>
        </w:rPr>
        <w:t>, business,</w:t>
      </w:r>
      <w:r w:rsidRPr="00827138">
        <w:rPr>
          <w:color w:val="000000" w:themeColor="text1"/>
          <w:sz w:val="24"/>
          <w:szCs w:val="24"/>
        </w:rPr>
        <w:t xml:space="preserve"> </w:t>
      </w:r>
      <w:r w:rsidR="00812312" w:rsidRPr="00827138">
        <w:rPr>
          <w:color w:val="000000" w:themeColor="text1"/>
          <w:sz w:val="24"/>
          <w:szCs w:val="24"/>
        </w:rPr>
        <w:t>or</w:t>
      </w:r>
      <w:r w:rsidRPr="00827138">
        <w:rPr>
          <w:color w:val="000000" w:themeColor="text1"/>
          <w:sz w:val="24"/>
          <w:szCs w:val="24"/>
        </w:rPr>
        <w:t xml:space="preserve"> legacy plans, please give us a call.</w:t>
      </w:r>
    </w:p>
    <w:p w14:paraId="01CA2283" w14:textId="77777777" w:rsidR="00BB2AD5" w:rsidRPr="00827138" w:rsidRDefault="00BB2AD5" w:rsidP="003764F4">
      <w:pPr>
        <w:tabs>
          <w:tab w:val="left" w:pos="-3150"/>
          <w:tab w:val="left" w:pos="8550"/>
        </w:tabs>
        <w:rPr>
          <w:sz w:val="24"/>
          <w:szCs w:val="24"/>
        </w:rPr>
      </w:pPr>
    </w:p>
    <w:p w14:paraId="40B3408F" w14:textId="5E722AAD" w:rsidR="00AD6FF5" w:rsidRPr="00827138" w:rsidRDefault="00FF707C" w:rsidP="003764F4">
      <w:pPr>
        <w:tabs>
          <w:tab w:val="left" w:pos="-3150"/>
          <w:tab w:val="left" w:pos="8550"/>
        </w:tabs>
        <w:rPr>
          <w:b/>
          <w:color w:val="35DB3F"/>
          <w:sz w:val="28"/>
          <w:szCs w:val="28"/>
        </w:rPr>
      </w:pPr>
      <w:r w:rsidRPr="00827138">
        <w:rPr>
          <w:b/>
          <w:color w:val="35DB3F"/>
          <w:sz w:val="28"/>
          <w:szCs w:val="28"/>
        </w:rPr>
        <w:t>W</w:t>
      </w:r>
      <w:r w:rsidR="00425C28" w:rsidRPr="00827138">
        <w:rPr>
          <w:b/>
          <w:color w:val="35DB3F"/>
          <w:sz w:val="28"/>
          <w:szCs w:val="28"/>
        </w:rPr>
        <w:t xml:space="preserve">eekly Focus – Think </w:t>
      </w:r>
      <w:r w:rsidR="00425C28" w:rsidRPr="00827138">
        <w:rPr>
          <w:b/>
          <w:bCs/>
          <w:color w:val="35DB3F"/>
          <w:sz w:val="28"/>
          <w:szCs w:val="28"/>
        </w:rPr>
        <w:t>About</w:t>
      </w:r>
      <w:r w:rsidR="00425C28" w:rsidRPr="00827138">
        <w:rPr>
          <w:b/>
          <w:color w:val="35DB3F"/>
          <w:sz w:val="28"/>
          <w:szCs w:val="28"/>
        </w:rPr>
        <w:t xml:space="preserve"> It</w:t>
      </w:r>
      <w:r w:rsidR="001856C6" w:rsidRPr="00827138">
        <w:rPr>
          <w:color w:val="35DB3F"/>
          <w:sz w:val="28"/>
          <w:szCs w:val="28"/>
        </w:rPr>
        <w:t xml:space="preserve"> </w:t>
      </w:r>
    </w:p>
    <w:p w14:paraId="63C1B00E" w14:textId="77777777" w:rsidR="006670F5" w:rsidRPr="00827138" w:rsidRDefault="006670F5" w:rsidP="003764F4">
      <w:pPr>
        <w:widowControl w:val="0"/>
        <w:adjustRightInd w:val="0"/>
        <w:ind w:right="-36"/>
        <w:rPr>
          <w:color w:val="181818"/>
          <w:sz w:val="24"/>
          <w:szCs w:val="24"/>
          <w:shd w:val="clear" w:color="auto" w:fill="FFFFFF"/>
        </w:rPr>
      </w:pPr>
    </w:p>
    <w:p w14:paraId="35084564" w14:textId="2019F68A" w:rsidR="00DC53CD" w:rsidRPr="00827138" w:rsidRDefault="001B43ED" w:rsidP="003764F4">
      <w:pPr>
        <w:widowControl w:val="0"/>
        <w:adjustRightInd w:val="0"/>
        <w:ind w:right="-36"/>
        <w:rPr>
          <w:color w:val="181818"/>
          <w:sz w:val="24"/>
          <w:szCs w:val="24"/>
          <w:shd w:val="clear" w:color="auto" w:fill="FFFFFF"/>
        </w:rPr>
      </w:pPr>
      <w:r w:rsidRPr="00827138">
        <w:rPr>
          <w:color w:val="181818"/>
          <w:sz w:val="24"/>
          <w:szCs w:val="24"/>
          <w:shd w:val="clear" w:color="auto" w:fill="FFFFFF"/>
        </w:rPr>
        <w:t>“</w:t>
      </w:r>
      <w:r w:rsidR="00DC53CD" w:rsidRPr="00827138">
        <w:rPr>
          <w:color w:val="181818"/>
          <w:sz w:val="24"/>
          <w:szCs w:val="24"/>
          <w:shd w:val="clear" w:color="auto" w:fill="FFFFFF"/>
        </w:rPr>
        <w:t xml:space="preserve">I feel that one of the most important lessons that can be learned is that what we </w:t>
      </w:r>
      <w:r w:rsidR="007254E2" w:rsidRPr="00827138">
        <w:rPr>
          <w:color w:val="181818"/>
          <w:sz w:val="24"/>
          <w:szCs w:val="24"/>
          <w:shd w:val="clear" w:color="auto" w:fill="FFFFFF"/>
        </w:rPr>
        <w:t>‘</w:t>
      </w:r>
      <w:r w:rsidR="00DC53CD" w:rsidRPr="00827138">
        <w:rPr>
          <w:color w:val="181818"/>
          <w:sz w:val="24"/>
          <w:szCs w:val="24"/>
          <w:shd w:val="clear" w:color="auto" w:fill="FFFFFF"/>
        </w:rPr>
        <w:t>see</w:t>
      </w:r>
      <w:r w:rsidR="007254E2" w:rsidRPr="00827138">
        <w:rPr>
          <w:color w:val="181818"/>
          <w:sz w:val="24"/>
          <w:szCs w:val="24"/>
          <w:shd w:val="clear" w:color="auto" w:fill="FFFFFF"/>
        </w:rPr>
        <w:t>’</w:t>
      </w:r>
      <w:r w:rsidR="00DC53CD" w:rsidRPr="00827138">
        <w:rPr>
          <w:color w:val="181818"/>
          <w:sz w:val="24"/>
          <w:szCs w:val="24"/>
          <w:shd w:val="clear" w:color="auto" w:fill="FFFFFF"/>
        </w:rPr>
        <w:t xml:space="preserve"> may be different than what is actually in front of us.”</w:t>
      </w:r>
    </w:p>
    <w:p w14:paraId="464E4E90" w14:textId="3C6BADBC" w:rsidR="00ED3813" w:rsidRPr="00040334" w:rsidRDefault="00DC53CD" w:rsidP="003764F4">
      <w:pPr>
        <w:widowControl w:val="0"/>
        <w:adjustRightInd w:val="0"/>
        <w:ind w:right="-36"/>
        <w:jc w:val="right"/>
        <w:rPr>
          <w:i/>
          <w:iCs/>
          <w:color w:val="181818"/>
          <w:sz w:val="24"/>
          <w:szCs w:val="24"/>
          <w:shd w:val="clear" w:color="auto" w:fill="FFFFFF"/>
        </w:rPr>
      </w:pPr>
      <w:r w:rsidRPr="0099115C">
        <w:rPr>
          <w:i/>
          <w:iCs/>
          <w:color w:val="181818"/>
          <w:sz w:val="24"/>
          <w:szCs w:val="24"/>
          <w:shd w:val="clear" w:color="auto" w:fill="FFFFFF"/>
        </w:rPr>
        <w:t xml:space="preserve">--Mark Singer, Journalist </w:t>
      </w:r>
      <w:r w:rsidR="00731A75" w:rsidRPr="0099115C">
        <w:rPr>
          <w:i/>
          <w:iCs/>
          <w:color w:val="181818"/>
          <w:sz w:val="24"/>
          <w:szCs w:val="24"/>
          <w:shd w:val="clear" w:color="auto" w:fill="FFFFFF"/>
        </w:rPr>
        <w:t>[</w:t>
      </w:r>
      <w:r w:rsidR="0077638F" w:rsidRPr="0099115C">
        <w:rPr>
          <w:i/>
          <w:iCs/>
          <w:color w:val="181818"/>
          <w:sz w:val="24"/>
          <w:szCs w:val="24"/>
          <w:shd w:val="clear" w:color="auto" w:fill="FFFFFF"/>
        </w:rPr>
        <w:t>8</w:t>
      </w:r>
      <w:r w:rsidR="00F329BC" w:rsidRPr="0099115C">
        <w:rPr>
          <w:i/>
          <w:iCs/>
          <w:color w:val="181818"/>
          <w:sz w:val="24"/>
          <w:szCs w:val="24"/>
          <w:shd w:val="clear" w:color="auto" w:fill="FFFFFF"/>
        </w:rPr>
        <w:t>]</w:t>
      </w:r>
    </w:p>
    <w:p w14:paraId="073870A3" w14:textId="77777777" w:rsidR="00ED3813" w:rsidRPr="00827138" w:rsidRDefault="00ED3813" w:rsidP="003764F4">
      <w:pPr>
        <w:widowControl w:val="0"/>
        <w:adjustRightInd w:val="0"/>
        <w:ind w:right="-36"/>
        <w:rPr>
          <w:color w:val="181818"/>
          <w:sz w:val="24"/>
          <w:szCs w:val="24"/>
          <w:shd w:val="clear" w:color="auto" w:fill="FFFFFF"/>
        </w:rPr>
      </w:pPr>
    </w:p>
    <w:p w14:paraId="7D546448" w14:textId="46BACC32" w:rsidR="00370AE2" w:rsidRPr="00827138" w:rsidRDefault="00370AE2" w:rsidP="003764F4">
      <w:pPr>
        <w:widowControl w:val="0"/>
        <w:adjustRightInd w:val="0"/>
        <w:ind w:right="-36"/>
        <w:rPr>
          <w:sz w:val="24"/>
          <w:szCs w:val="24"/>
        </w:rPr>
      </w:pPr>
      <w:r w:rsidRPr="00827138">
        <w:rPr>
          <w:sz w:val="24"/>
          <w:szCs w:val="24"/>
        </w:rPr>
        <w:t>Best regards,</w:t>
      </w:r>
    </w:p>
    <w:p w14:paraId="424B0C7F" w14:textId="77777777" w:rsidR="00AF1B86" w:rsidRPr="00EC08F5" w:rsidRDefault="00AF1B86" w:rsidP="00AF1B86">
      <w:pPr>
        <w:widowControl w:val="0"/>
        <w:adjustRightInd w:val="0"/>
        <w:ind w:right="-36"/>
        <w:rPr>
          <w:sz w:val="24"/>
          <w:szCs w:val="24"/>
        </w:rPr>
      </w:pPr>
    </w:p>
    <w:p w14:paraId="542B43AB" w14:textId="77777777" w:rsidR="00AF1B86" w:rsidRDefault="00AF1B86" w:rsidP="00AF1B86">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1ACFE7AA" w14:textId="77777777" w:rsidR="00AF1B86" w:rsidRPr="007F3220" w:rsidRDefault="00AF1B86" w:rsidP="00AF1B86">
      <w:pPr>
        <w:rPr>
          <w:sz w:val="16"/>
        </w:rPr>
      </w:pPr>
    </w:p>
    <w:p w14:paraId="34F737DB" w14:textId="77777777" w:rsidR="00AF1B86" w:rsidRDefault="00AF1B86" w:rsidP="00AF1B86">
      <w:pPr>
        <w:rPr>
          <w:sz w:val="24"/>
        </w:rPr>
      </w:pPr>
      <w:r>
        <w:rPr>
          <w:sz w:val="24"/>
        </w:rPr>
        <w:t>Securities offered through Commonwealth Financial, Member FINRA/SIPC.</w:t>
      </w:r>
    </w:p>
    <w:p w14:paraId="7FDC84E3" w14:textId="0B2690E6" w:rsidR="00370AE2" w:rsidRDefault="00370AE2" w:rsidP="003764F4">
      <w:pPr>
        <w:ind w:right="-36"/>
        <w:rPr>
          <w:sz w:val="24"/>
          <w:szCs w:val="24"/>
        </w:rPr>
      </w:pPr>
    </w:p>
    <w:p w14:paraId="61916DD7" w14:textId="232FCA57" w:rsidR="00AF1B86" w:rsidRDefault="00AF1B86" w:rsidP="003764F4">
      <w:pPr>
        <w:ind w:right="-36"/>
        <w:rPr>
          <w:sz w:val="24"/>
          <w:szCs w:val="24"/>
        </w:rPr>
      </w:pPr>
    </w:p>
    <w:p w14:paraId="7B724165" w14:textId="77777777" w:rsidR="00AF1B86" w:rsidRPr="00827138" w:rsidRDefault="00AF1B86" w:rsidP="003764F4">
      <w:pPr>
        <w:ind w:right="-36"/>
        <w:rPr>
          <w:sz w:val="24"/>
          <w:szCs w:val="24"/>
        </w:rPr>
      </w:pPr>
    </w:p>
    <w:p w14:paraId="6E03BE79" w14:textId="77777777" w:rsidR="00F47417" w:rsidRPr="00011B5E" w:rsidRDefault="00F47417" w:rsidP="00F47417">
      <w:pPr>
        <w:ind w:right="-36"/>
        <w:rPr>
          <w:sz w:val="22"/>
          <w:szCs w:val="22"/>
        </w:rPr>
      </w:pPr>
      <w:r w:rsidRPr="00011B5E">
        <w:rPr>
          <w:sz w:val="22"/>
          <w:szCs w:val="22"/>
        </w:rPr>
        <w:t>* These views are those of Carson Coaching, and not the presenting Representative, the Representative’s Broker/Dealer, or Registered Investment Advisor, and should not be construed as investment advice.</w:t>
      </w:r>
    </w:p>
    <w:p w14:paraId="20AF0E63" w14:textId="77777777" w:rsidR="00F47417" w:rsidRPr="00011B5E" w:rsidRDefault="00F47417" w:rsidP="00F47417">
      <w:pPr>
        <w:ind w:right="-36"/>
        <w:rPr>
          <w:sz w:val="22"/>
          <w:szCs w:val="22"/>
        </w:rPr>
      </w:pPr>
      <w:r w:rsidRPr="00011B5E">
        <w:rPr>
          <w:sz w:val="22"/>
          <w:szCs w:val="22"/>
        </w:rPr>
        <w:t>* This newsletter was prepared by Carson Coaching. Carson Coaching is not affiliated with the named firm.</w:t>
      </w:r>
    </w:p>
    <w:p w14:paraId="76C7AB20" w14:textId="77777777" w:rsidR="00F47417" w:rsidRPr="00011B5E" w:rsidRDefault="00F47417" w:rsidP="00F47417">
      <w:pPr>
        <w:ind w:right="-36"/>
        <w:rPr>
          <w:sz w:val="22"/>
          <w:szCs w:val="22"/>
        </w:rPr>
      </w:pPr>
      <w:r w:rsidRPr="00011B5E">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4FCEF8C" w14:textId="77777777" w:rsidR="00F47417" w:rsidRPr="00011B5E" w:rsidRDefault="00F47417" w:rsidP="00F47417">
      <w:pPr>
        <w:ind w:right="-36"/>
        <w:rPr>
          <w:sz w:val="22"/>
          <w:szCs w:val="22"/>
        </w:rPr>
      </w:pPr>
      <w:r w:rsidRPr="00011B5E">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567EB0B0" w14:textId="77777777" w:rsidR="00F47417" w:rsidRPr="00011B5E" w:rsidRDefault="00F47417" w:rsidP="00F47417">
      <w:pPr>
        <w:ind w:right="-36"/>
        <w:rPr>
          <w:sz w:val="22"/>
          <w:szCs w:val="22"/>
        </w:rPr>
      </w:pPr>
      <w:r w:rsidRPr="00011B5E">
        <w:rPr>
          <w:sz w:val="22"/>
          <w:szCs w:val="22"/>
        </w:rPr>
        <w:t>* The Standard &amp; Poor's 500 (S&amp;P 500) is an unmanaged group of securities considered to be representative of the stock market in general. You cannot invest directly in this index.</w:t>
      </w:r>
    </w:p>
    <w:p w14:paraId="554D402E" w14:textId="77777777" w:rsidR="00F47417" w:rsidRPr="00011B5E" w:rsidRDefault="00F47417" w:rsidP="00F47417">
      <w:pPr>
        <w:ind w:right="-36"/>
        <w:rPr>
          <w:sz w:val="22"/>
          <w:szCs w:val="22"/>
        </w:rPr>
      </w:pPr>
      <w:r w:rsidRPr="00011B5E">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0FA4024D" w14:textId="77777777" w:rsidR="00F47417" w:rsidRPr="00011B5E" w:rsidRDefault="00F47417" w:rsidP="00F47417">
      <w:pPr>
        <w:ind w:right="-36"/>
        <w:rPr>
          <w:sz w:val="22"/>
          <w:szCs w:val="22"/>
        </w:rPr>
      </w:pPr>
      <w:r w:rsidRPr="00011B5E">
        <w:rPr>
          <w:sz w:val="22"/>
          <w:szCs w:val="22"/>
        </w:rPr>
        <w:t>* The Dow Jones Global ex-U.S. Index covers approximately 95% of the market capitalization of the 45 developed and emerging countries included in the Index.</w:t>
      </w:r>
    </w:p>
    <w:p w14:paraId="21F8F26E" w14:textId="77777777" w:rsidR="00F47417" w:rsidRPr="00011B5E" w:rsidRDefault="00F47417" w:rsidP="00F47417">
      <w:pPr>
        <w:ind w:right="-36"/>
        <w:rPr>
          <w:sz w:val="22"/>
          <w:szCs w:val="22"/>
        </w:rPr>
      </w:pPr>
      <w:r w:rsidRPr="00011B5E">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6679311D" w14:textId="77777777" w:rsidR="00F47417" w:rsidRPr="00011B5E" w:rsidRDefault="00F47417" w:rsidP="00F47417">
      <w:pPr>
        <w:ind w:right="-36"/>
        <w:rPr>
          <w:sz w:val="22"/>
          <w:szCs w:val="22"/>
        </w:rPr>
      </w:pPr>
      <w:r w:rsidRPr="00011B5E">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525E067E" w14:textId="77777777" w:rsidR="00F47417" w:rsidRPr="00011B5E" w:rsidRDefault="00F47417" w:rsidP="00F47417">
      <w:pPr>
        <w:ind w:right="-36"/>
        <w:rPr>
          <w:sz w:val="22"/>
          <w:szCs w:val="22"/>
        </w:rPr>
      </w:pPr>
      <w:r w:rsidRPr="00011B5E">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2BEB42" w14:textId="77777777" w:rsidR="00F47417" w:rsidRPr="00011B5E" w:rsidRDefault="00F47417" w:rsidP="00F47417">
      <w:pPr>
        <w:ind w:right="-36"/>
        <w:rPr>
          <w:sz w:val="22"/>
          <w:szCs w:val="22"/>
        </w:rPr>
      </w:pPr>
      <w:r w:rsidRPr="00011B5E">
        <w:rPr>
          <w:sz w:val="22"/>
          <w:szCs w:val="22"/>
        </w:rPr>
        <w:t>* The DJ Equity All REIT Total Return Index measures the total return performance of the equity subcategory of the Real Estate Investment Trust (REIT) industry as calculated by Dow Jones.</w:t>
      </w:r>
    </w:p>
    <w:p w14:paraId="3BED3ADD" w14:textId="77777777" w:rsidR="00F47417" w:rsidRPr="00011B5E" w:rsidRDefault="00F47417" w:rsidP="00F47417">
      <w:pPr>
        <w:ind w:right="-36"/>
        <w:rPr>
          <w:sz w:val="22"/>
          <w:szCs w:val="22"/>
        </w:rPr>
      </w:pPr>
      <w:r w:rsidRPr="00011B5E">
        <w:rPr>
          <w:sz w:val="22"/>
          <w:szCs w:val="22"/>
        </w:rPr>
        <w:t>* The Dow Jones Industrial Average (DJIA), commonly known as “The Dow,” is an index representing 30 stock of companies maintained and reviewed by the editors of The Wall Street Journal.</w:t>
      </w:r>
    </w:p>
    <w:p w14:paraId="16F7FBBE" w14:textId="77777777" w:rsidR="00F47417" w:rsidRPr="00011B5E" w:rsidRDefault="00F47417" w:rsidP="00F47417">
      <w:pPr>
        <w:ind w:right="-36"/>
        <w:rPr>
          <w:sz w:val="22"/>
          <w:szCs w:val="22"/>
        </w:rPr>
      </w:pPr>
      <w:r w:rsidRPr="00011B5E">
        <w:rPr>
          <w:sz w:val="22"/>
          <w:szCs w:val="22"/>
        </w:rPr>
        <w:t>* The NASDAQ Composite is an unmanaged index of securities traded on the NASDAQ system.</w:t>
      </w:r>
    </w:p>
    <w:p w14:paraId="42815821" w14:textId="77777777" w:rsidR="00F47417" w:rsidRPr="00011B5E" w:rsidRDefault="00F47417" w:rsidP="00F47417">
      <w:pPr>
        <w:ind w:right="-36"/>
        <w:rPr>
          <w:sz w:val="22"/>
          <w:szCs w:val="22"/>
        </w:rPr>
      </w:pPr>
      <w:r w:rsidRPr="00011B5E">
        <w:rPr>
          <w:sz w:val="22"/>
          <w:szCs w:val="22"/>
        </w:rPr>
        <w:t>* International investing involves special risks such as currency fluctuation and political instability and may not be suitable for all investors. These risks are often heightened for investments in emerging markets.</w:t>
      </w:r>
    </w:p>
    <w:p w14:paraId="771EB4FD" w14:textId="77777777" w:rsidR="00F47417" w:rsidRPr="00011B5E" w:rsidRDefault="00F47417" w:rsidP="00F47417">
      <w:pPr>
        <w:ind w:right="-36"/>
        <w:rPr>
          <w:sz w:val="22"/>
          <w:szCs w:val="22"/>
        </w:rPr>
      </w:pPr>
      <w:r w:rsidRPr="00011B5E">
        <w:rPr>
          <w:sz w:val="22"/>
          <w:szCs w:val="22"/>
        </w:rPr>
        <w:t>* Yahoo! Finance is the source for any reference to the performance of an index between two specific periods.</w:t>
      </w:r>
    </w:p>
    <w:p w14:paraId="7012474B" w14:textId="77777777" w:rsidR="00F47417" w:rsidRPr="00011B5E" w:rsidRDefault="00F47417" w:rsidP="00F47417">
      <w:pPr>
        <w:ind w:right="-36"/>
        <w:rPr>
          <w:sz w:val="22"/>
          <w:szCs w:val="22"/>
        </w:rPr>
      </w:pPr>
      <w:r w:rsidRPr="00011B5E">
        <w:rPr>
          <w:sz w:val="22"/>
          <w:szCs w:val="22"/>
        </w:rPr>
        <w:t>* Opinions expressed are subject to change without notice and are not intended as investment advice or to predict future performance.</w:t>
      </w:r>
    </w:p>
    <w:p w14:paraId="0845EBFB" w14:textId="77777777" w:rsidR="00F47417" w:rsidRPr="00011B5E" w:rsidRDefault="00F47417" w:rsidP="00F47417">
      <w:pPr>
        <w:ind w:right="-36"/>
        <w:rPr>
          <w:sz w:val="22"/>
          <w:szCs w:val="22"/>
        </w:rPr>
      </w:pPr>
      <w:r w:rsidRPr="00011B5E">
        <w:rPr>
          <w:sz w:val="22"/>
          <w:szCs w:val="22"/>
        </w:rPr>
        <w:t>* Economic forecasts set forth may not develop as predicted and there can be no guarantee that strategies promoted will be successful.</w:t>
      </w:r>
    </w:p>
    <w:p w14:paraId="7D7AA6AA" w14:textId="77777777" w:rsidR="00F47417" w:rsidRPr="00011B5E" w:rsidRDefault="00F47417" w:rsidP="00F47417">
      <w:pPr>
        <w:ind w:right="-36"/>
        <w:rPr>
          <w:color w:val="FFFFFF"/>
          <w:sz w:val="22"/>
          <w:szCs w:val="22"/>
        </w:rPr>
      </w:pPr>
      <w:r w:rsidRPr="00011B5E">
        <w:rPr>
          <w:sz w:val="22"/>
          <w:szCs w:val="22"/>
        </w:rPr>
        <w:lastRenderedPageBreak/>
        <w:t>* Past performance does not guarantee future results. Investing involves risk, including loss of principal.</w:t>
      </w:r>
    </w:p>
    <w:p w14:paraId="6558C795" w14:textId="77777777" w:rsidR="00F47417" w:rsidRPr="00011B5E" w:rsidRDefault="00F47417" w:rsidP="00F47417">
      <w:pPr>
        <w:ind w:right="-36"/>
        <w:rPr>
          <w:color w:val="000000"/>
          <w:sz w:val="22"/>
          <w:szCs w:val="22"/>
        </w:rPr>
      </w:pPr>
      <w:r w:rsidRPr="00011B5E">
        <w:rPr>
          <w:color w:val="000000"/>
          <w:sz w:val="22"/>
          <w:szCs w:val="22"/>
        </w:rPr>
        <w:t xml:space="preserve">* </w:t>
      </w:r>
      <w:r w:rsidRPr="00011B5E">
        <w:rPr>
          <w:color w:val="000000"/>
          <w:sz w:val="22"/>
          <w:szCs w:val="22"/>
          <w:shd w:val="clear" w:color="auto" w:fill="FFFFFF"/>
        </w:rPr>
        <w:t>The foregoing information has been obtained from sources considered to be reliable, but we do not guarantee it is accurate or complete.</w:t>
      </w:r>
    </w:p>
    <w:p w14:paraId="19ED9AD7" w14:textId="77777777" w:rsidR="00F47417" w:rsidRPr="00011B5E" w:rsidRDefault="00F47417" w:rsidP="00F47417">
      <w:pPr>
        <w:ind w:right="-36"/>
        <w:rPr>
          <w:sz w:val="22"/>
          <w:szCs w:val="22"/>
        </w:rPr>
      </w:pPr>
      <w:r w:rsidRPr="00011B5E">
        <w:rPr>
          <w:sz w:val="22"/>
          <w:szCs w:val="22"/>
        </w:rPr>
        <w:t>* There is no guarantee a diversified portfolio will enhance overall returns or outperform a non-diversified portfolio. Diversification does not protect against market risk.</w:t>
      </w:r>
    </w:p>
    <w:p w14:paraId="4B59D94F" w14:textId="77777777" w:rsidR="00F47417" w:rsidRPr="00011B5E" w:rsidRDefault="00F47417" w:rsidP="00F47417">
      <w:pPr>
        <w:ind w:right="-36"/>
        <w:rPr>
          <w:sz w:val="22"/>
          <w:szCs w:val="22"/>
        </w:rPr>
      </w:pPr>
      <w:r w:rsidRPr="00011B5E">
        <w:rPr>
          <w:sz w:val="22"/>
          <w:szCs w:val="22"/>
        </w:rPr>
        <w:t>* Asset allocation does not ensure a profit or protect against a loss.</w:t>
      </w:r>
    </w:p>
    <w:p w14:paraId="50F2962C" w14:textId="77777777" w:rsidR="00F47417" w:rsidRPr="00011B5E" w:rsidRDefault="00F47417" w:rsidP="00F47417">
      <w:pPr>
        <w:ind w:right="-36"/>
        <w:rPr>
          <w:sz w:val="22"/>
          <w:szCs w:val="22"/>
        </w:rPr>
      </w:pPr>
      <w:r w:rsidRPr="00011B5E">
        <w:rPr>
          <w:sz w:val="22"/>
          <w:szCs w:val="22"/>
        </w:rPr>
        <w:t>* Consult your financial professional before making any investment decision.</w:t>
      </w:r>
    </w:p>
    <w:p w14:paraId="6FC89E47" w14:textId="77777777" w:rsidR="00F47417" w:rsidRPr="00011B5E" w:rsidRDefault="00F47417" w:rsidP="00F47417">
      <w:pPr>
        <w:ind w:right="-36"/>
        <w:rPr>
          <w:sz w:val="22"/>
          <w:szCs w:val="22"/>
        </w:rPr>
      </w:pPr>
      <w:bookmarkStart w:id="0" w:name="_GoBack"/>
      <w:bookmarkEnd w:id="0"/>
    </w:p>
    <w:p w14:paraId="502E0B64" w14:textId="641A152B" w:rsidR="00382257" w:rsidRPr="00011B5E" w:rsidRDefault="003669EE" w:rsidP="003764F4">
      <w:pPr>
        <w:widowControl w:val="0"/>
        <w:adjustRightInd w:val="0"/>
        <w:ind w:right="-36"/>
        <w:rPr>
          <w:sz w:val="22"/>
          <w:szCs w:val="22"/>
        </w:rPr>
      </w:pPr>
      <w:r w:rsidRPr="00011B5E">
        <w:rPr>
          <w:sz w:val="22"/>
          <w:szCs w:val="22"/>
        </w:rPr>
        <w:t>Sources:</w:t>
      </w:r>
    </w:p>
    <w:p w14:paraId="45E7C085" w14:textId="2BEE0DF1" w:rsidR="009B5F72" w:rsidRPr="00011B5E" w:rsidRDefault="009B5F72" w:rsidP="003764F4">
      <w:pPr>
        <w:rPr>
          <w:sz w:val="22"/>
          <w:szCs w:val="22"/>
        </w:rPr>
      </w:pPr>
    </w:p>
    <w:p w14:paraId="719EB3C5" w14:textId="13C8540C" w:rsidR="001D29E3" w:rsidRPr="00011B5E" w:rsidRDefault="00AF1B86" w:rsidP="003764F4">
      <w:pPr>
        <w:rPr>
          <w:sz w:val="22"/>
          <w:szCs w:val="22"/>
        </w:rPr>
      </w:pPr>
      <w:hyperlink r:id="rId8" w:history="1">
        <w:r w:rsidR="00D66C0E" w:rsidRPr="00011B5E">
          <w:rPr>
            <w:rStyle w:val="Hyperlink"/>
            <w:sz w:val="22"/>
            <w:szCs w:val="22"/>
          </w:rPr>
          <w:t>https://www.barrons.com/market-data?mod=BOL_HAMNAV</w:t>
        </w:r>
      </w:hyperlink>
      <w:r w:rsidR="00C93542">
        <w:rPr>
          <w:rStyle w:val="Hyperlink"/>
          <w:sz w:val="22"/>
          <w:szCs w:val="22"/>
        </w:rPr>
        <w:t xml:space="preserve"> </w:t>
      </w:r>
      <w:r w:rsidR="00C93542">
        <w:rPr>
          <w:color w:val="000000" w:themeColor="text1"/>
          <w:sz w:val="22"/>
          <w:szCs w:val="22"/>
        </w:rPr>
        <w:t>(</w:t>
      </w:r>
      <w:r w:rsidR="00C93542" w:rsidRPr="0076522F">
        <w:rPr>
          <w:i/>
          <w:iCs/>
          <w:color w:val="000000" w:themeColor="text1"/>
          <w:sz w:val="22"/>
          <w:szCs w:val="22"/>
        </w:rPr>
        <w:t>or go to</w:t>
      </w:r>
      <w:r w:rsidR="00C93542">
        <w:rPr>
          <w:i/>
          <w:iCs/>
          <w:color w:val="000000" w:themeColor="text1"/>
          <w:sz w:val="22"/>
          <w:szCs w:val="22"/>
        </w:rPr>
        <w:t xml:space="preserve"> </w:t>
      </w:r>
      <w:hyperlink r:id="rId9" w:history="1">
        <w:r w:rsidR="00C93542" w:rsidRPr="00DC30CD">
          <w:rPr>
            <w:rStyle w:val="Hyperlink"/>
            <w:i/>
            <w:iCs/>
            <w:sz w:val="22"/>
            <w:szCs w:val="22"/>
          </w:rPr>
          <w:t>https://peakcontent.s3-us-west-2.amazonaws.com/+Peak+Commentary/12-23-19_Barrons_Market_Data.pdf</w:t>
        </w:r>
      </w:hyperlink>
      <w:r w:rsidR="00C93542">
        <w:rPr>
          <w:i/>
          <w:iCs/>
          <w:color w:val="000000" w:themeColor="text1"/>
          <w:sz w:val="22"/>
          <w:szCs w:val="22"/>
        </w:rPr>
        <w:t xml:space="preserve">) </w:t>
      </w:r>
    </w:p>
    <w:p w14:paraId="1649C54D" w14:textId="1688A901" w:rsidR="00D66C0E" w:rsidRPr="00C93542" w:rsidRDefault="00AF1B86" w:rsidP="003764F4">
      <w:pPr>
        <w:rPr>
          <w:i/>
          <w:iCs/>
          <w:color w:val="000000" w:themeColor="text1"/>
          <w:sz w:val="22"/>
          <w:szCs w:val="22"/>
        </w:rPr>
      </w:pPr>
      <w:hyperlink r:id="rId10" w:history="1">
        <w:r w:rsidR="00917D7B" w:rsidRPr="00011B5E">
          <w:rPr>
            <w:rStyle w:val="Hyperlink"/>
            <w:sz w:val="22"/>
            <w:szCs w:val="22"/>
          </w:rPr>
          <w:t>https://www.barrons.com/articles/the-s-p-heading-for-best-year-since-2013-what-fueled-the-rally-51576891986?mod=hp_DAY_3</w:t>
        </w:r>
      </w:hyperlink>
      <w:r w:rsidR="00C93542" w:rsidRPr="00C93542">
        <w:rPr>
          <w:rStyle w:val="Hyperlink"/>
          <w:sz w:val="22"/>
          <w:szCs w:val="22"/>
          <w:u w:val="none"/>
        </w:rPr>
        <w:t xml:space="preserve"> </w:t>
      </w:r>
      <w:r w:rsidR="00C93542">
        <w:rPr>
          <w:color w:val="000000" w:themeColor="text1"/>
          <w:sz w:val="22"/>
          <w:szCs w:val="22"/>
        </w:rPr>
        <w:t>(</w:t>
      </w:r>
      <w:r w:rsidR="00C93542" w:rsidRPr="0076522F">
        <w:rPr>
          <w:i/>
          <w:iCs/>
          <w:color w:val="000000" w:themeColor="text1"/>
          <w:sz w:val="22"/>
          <w:szCs w:val="22"/>
        </w:rPr>
        <w:t>or go to</w:t>
      </w:r>
      <w:r w:rsidR="00C93542">
        <w:rPr>
          <w:i/>
          <w:iCs/>
          <w:color w:val="000000" w:themeColor="text1"/>
          <w:sz w:val="22"/>
          <w:szCs w:val="22"/>
        </w:rPr>
        <w:t xml:space="preserve"> </w:t>
      </w:r>
      <w:hyperlink r:id="rId11" w:history="1">
        <w:r w:rsidR="00C93542" w:rsidRPr="00DC30CD">
          <w:rPr>
            <w:rStyle w:val="Hyperlink"/>
            <w:i/>
            <w:iCs/>
            <w:sz w:val="22"/>
            <w:szCs w:val="22"/>
          </w:rPr>
          <w:t>https://peakcontent.s3-us-west-2.amazonaws.com/+Peak+Commentary/12-23-19_The_S%26P_Is_Heading_for_Its_Best_Year_Since_2013.pdf</w:t>
        </w:r>
      </w:hyperlink>
      <w:r w:rsidR="00C93542">
        <w:rPr>
          <w:i/>
          <w:iCs/>
          <w:color w:val="000000" w:themeColor="text1"/>
          <w:sz w:val="22"/>
          <w:szCs w:val="22"/>
        </w:rPr>
        <w:t xml:space="preserve"> )</w:t>
      </w:r>
    </w:p>
    <w:p w14:paraId="1A0FB7EB" w14:textId="4595952D" w:rsidR="00917D7B" w:rsidRPr="00011B5E" w:rsidRDefault="00AF1B86" w:rsidP="003764F4">
      <w:pPr>
        <w:rPr>
          <w:sz w:val="22"/>
          <w:szCs w:val="22"/>
        </w:rPr>
      </w:pPr>
      <w:hyperlink r:id="rId12" w:history="1">
        <w:r w:rsidR="0054225E" w:rsidRPr="00011B5E">
          <w:rPr>
            <w:rStyle w:val="Hyperlink"/>
            <w:sz w:val="22"/>
            <w:szCs w:val="22"/>
          </w:rPr>
          <w:t>https://www.reuters.com/article/us-global-markets-2019-graphic/the-best-year-financial-markets-have-ever-had-idUSKBN1YO266</w:t>
        </w:r>
      </w:hyperlink>
    </w:p>
    <w:p w14:paraId="038CC134" w14:textId="7178E27C" w:rsidR="00827138" w:rsidRPr="00011B5E" w:rsidRDefault="00AF1B86" w:rsidP="003764F4">
      <w:pPr>
        <w:rPr>
          <w:sz w:val="22"/>
          <w:szCs w:val="22"/>
        </w:rPr>
      </w:pPr>
      <w:hyperlink r:id="rId13" w:history="1">
        <w:r w:rsidR="00827138" w:rsidRPr="00011B5E">
          <w:rPr>
            <w:rStyle w:val="Hyperlink"/>
            <w:sz w:val="22"/>
            <w:szCs w:val="22"/>
          </w:rPr>
          <w:t>https://thedecisionlab.com/biases/loss-aversion</w:t>
        </w:r>
      </w:hyperlink>
    </w:p>
    <w:p w14:paraId="789B5035" w14:textId="1099A5C3" w:rsidR="0054225E" w:rsidRPr="00011B5E" w:rsidRDefault="00AF1B86" w:rsidP="003764F4">
      <w:pPr>
        <w:rPr>
          <w:sz w:val="22"/>
          <w:szCs w:val="22"/>
        </w:rPr>
      </w:pPr>
      <w:hyperlink r:id="rId14" w:history="1">
        <w:r w:rsidR="00835B5D" w:rsidRPr="00011B5E">
          <w:rPr>
            <w:rStyle w:val="Hyperlink"/>
            <w:sz w:val="22"/>
            <w:szCs w:val="22"/>
          </w:rPr>
          <w:t>https://www.axios.com/2019-record-cash-pulled-out-stocks-5d4763a9-5724-4c64-be23-356c4fcbd002.html</w:t>
        </w:r>
      </w:hyperlink>
    </w:p>
    <w:p w14:paraId="09335984" w14:textId="697D8D11" w:rsidR="00835B5D" w:rsidRPr="00011B5E" w:rsidRDefault="00AF1B86" w:rsidP="003764F4">
      <w:pPr>
        <w:rPr>
          <w:sz w:val="22"/>
          <w:szCs w:val="22"/>
        </w:rPr>
      </w:pPr>
      <w:hyperlink r:id="rId15" w:history="1">
        <w:r w:rsidR="00C25C62" w:rsidRPr="00011B5E">
          <w:rPr>
            <w:rStyle w:val="Hyperlink"/>
            <w:sz w:val="22"/>
            <w:szCs w:val="22"/>
          </w:rPr>
          <w:t>https://www.drinkerbiddle.com/insights/publications/2019/12/congress-finally-passes-the-secure-act</w:t>
        </w:r>
      </w:hyperlink>
    </w:p>
    <w:p w14:paraId="6C047347" w14:textId="0628E248" w:rsidR="00C25C62" w:rsidRPr="00011B5E" w:rsidRDefault="00AF1B86" w:rsidP="003764F4">
      <w:pPr>
        <w:rPr>
          <w:sz w:val="22"/>
          <w:szCs w:val="22"/>
        </w:rPr>
      </w:pPr>
      <w:hyperlink r:id="rId16" w:history="1">
        <w:r w:rsidR="00851C3E" w:rsidRPr="00011B5E">
          <w:rPr>
            <w:rStyle w:val="Hyperlink"/>
            <w:sz w:val="22"/>
            <w:szCs w:val="22"/>
          </w:rPr>
          <w:t>https://www.barrons.com/articles/navigating-the-secure-act-what-retirement-savers-need-to-know-to-optimize-their-401-k-s-and-iras-51576886142?mod=hp_LEAD_3</w:t>
        </w:r>
      </w:hyperlink>
      <w:r w:rsidR="00C93542">
        <w:rPr>
          <w:rStyle w:val="Hyperlink"/>
          <w:sz w:val="22"/>
          <w:szCs w:val="22"/>
        </w:rPr>
        <w:t xml:space="preserve"> </w:t>
      </w:r>
      <w:r w:rsidR="00C93542">
        <w:rPr>
          <w:color w:val="000000" w:themeColor="text1"/>
          <w:sz w:val="22"/>
          <w:szCs w:val="22"/>
        </w:rPr>
        <w:t>(</w:t>
      </w:r>
      <w:r w:rsidR="00C93542" w:rsidRPr="0076522F">
        <w:rPr>
          <w:i/>
          <w:iCs/>
          <w:color w:val="000000" w:themeColor="text1"/>
          <w:sz w:val="22"/>
          <w:szCs w:val="22"/>
        </w:rPr>
        <w:t>or go to</w:t>
      </w:r>
      <w:r w:rsidR="00C93542">
        <w:rPr>
          <w:i/>
          <w:iCs/>
          <w:color w:val="000000" w:themeColor="text1"/>
          <w:sz w:val="22"/>
          <w:szCs w:val="22"/>
        </w:rPr>
        <w:t xml:space="preserve"> </w:t>
      </w:r>
      <w:hyperlink r:id="rId17" w:history="1">
        <w:r w:rsidR="00C93542" w:rsidRPr="00DC30CD">
          <w:rPr>
            <w:rStyle w:val="Hyperlink"/>
            <w:i/>
            <w:iCs/>
            <w:sz w:val="22"/>
            <w:szCs w:val="22"/>
          </w:rPr>
          <w:t>https://peakcontent.s3-us-west-2.amazonaws.com/+Peak+Commentary/12-23-19_Navigating_the_Secure_Act_What_Retirement_Savers_Need_To_Know_To_Otimize_Their_401ks_And_IRAS.pdf</w:t>
        </w:r>
      </w:hyperlink>
      <w:r w:rsidR="00C93542">
        <w:rPr>
          <w:i/>
          <w:iCs/>
          <w:color w:val="000000" w:themeColor="text1"/>
          <w:sz w:val="22"/>
          <w:szCs w:val="22"/>
        </w:rPr>
        <w:t>)</w:t>
      </w:r>
    </w:p>
    <w:p w14:paraId="7420C4E5" w14:textId="0A4EA552" w:rsidR="00851C3E" w:rsidRPr="00011B5E" w:rsidRDefault="00AF1B86" w:rsidP="003764F4">
      <w:pPr>
        <w:rPr>
          <w:sz w:val="22"/>
          <w:szCs w:val="22"/>
        </w:rPr>
      </w:pPr>
      <w:hyperlink r:id="rId18" w:history="1">
        <w:r w:rsidR="00827138" w:rsidRPr="00011B5E">
          <w:rPr>
            <w:rStyle w:val="Hyperlink"/>
            <w:sz w:val="22"/>
            <w:szCs w:val="22"/>
          </w:rPr>
          <w:t>https://www.fool.com/retirement/general/2014/08/31/5-retirement-quotes-to-make-you-a-smarter-investor.aspx</w:t>
        </w:r>
      </w:hyperlink>
    </w:p>
    <w:p w14:paraId="74FF231C" w14:textId="77777777" w:rsidR="00827138" w:rsidRPr="00827138" w:rsidRDefault="00827138" w:rsidP="003764F4">
      <w:pPr>
        <w:rPr>
          <w:sz w:val="24"/>
          <w:szCs w:val="24"/>
        </w:rPr>
      </w:pPr>
    </w:p>
    <w:p w14:paraId="610C3FFD" w14:textId="77777777" w:rsidR="00835B5D" w:rsidRPr="00827138" w:rsidRDefault="00835B5D" w:rsidP="003764F4">
      <w:pPr>
        <w:rPr>
          <w:sz w:val="24"/>
          <w:szCs w:val="24"/>
        </w:rPr>
      </w:pPr>
    </w:p>
    <w:p w14:paraId="57CBDCE7" w14:textId="77777777" w:rsidR="00277A2F" w:rsidRPr="00827138" w:rsidRDefault="00277A2F" w:rsidP="003764F4">
      <w:pPr>
        <w:rPr>
          <w:sz w:val="24"/>
          <w:szCs w:val="24"/>
        </w:rPr>
      </w:pPr>
    </w:p>
    <w:sectPr w:rsidR="00277A2F" w:rsidRPr="00827138" w:rsidSect="0092519E">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822C7" w14:textId="77777777" w:rsidR="00FC2A2E" w:rsidRDefault="00FC2A2E" w:rsidP="006C05CA">
      <w:r>
        <w:separator/>
      </w:r>
    </w:p>
  </w:endnote>
  <w:endnote w:type="continuationSeparator" w:id="0">
    <w:p w14:paraId="58599238" w14:textId="77777777" w:rsidR="00FC2A2E" w:rsidRDefault="00FC2A2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B32A5" w14:textId="77777777" w:rsidR="00FC2A2E" w:rsidRDefault="00FC2A2E" w:rsidP="006C05CA">
      <w:r>
        <w:separator/>
      </w:r>
    </w:p>
  </w:footnote>
  <w:footnote w:type="continuationSeparator" w:id="0">
    <w:p w14:paraId="37BD3D79" w14:textId="77777777" w:rsidR="00FC2A2E" w:rsidRDefault="00FC2A2E"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2"/>
  </w:num>
  <w:num w:numId="4">
    <w:abstractNumId w:val="11"/>
  </w:num>
  <w:num w:numId="5">
    <w:abstractNumId w:val="21"/>
  </w:num>
  <w:num w:numId="6">
    <w:abstractNumId w:val="20"/>
  </w:num>
  <w:num w:numId="7">
    <w:abstractNumId w:val="2"/>
  </w:num>
  <w:num w:numId="8">
    <w:abstractNumId w:val="19"/>
  </w:num>
  <w:num w:numId="9">
    <w:abstractNumId w:val="10"/>
  </w:num>
  <w:num w:numId="10">
    <w:abstractNumId w:val="13"/>
  </w:num>
  <w:num w:numId="11">
    <w:abstractNumId w:val="0"/>
  </w:num>
  <w:num w:numId="12">
    <w:abstractNumId w:val="7"/>
  </w:num>
  <w:num w:numId="13">
    <w:abstractNumId w:val="1"/>
  </w:num>
  <w:num w:numId="14">
    <w:abstractNumId w:val="3"/>
  </w:num>
  <w:num w:numId="15">
    <w:abstractNumId w:val="18"/>
  </w:num>
  <w:num w:numId="16">
    <w:abstractNumId w:val="6"/>
  </w:num>
  <w:num w:numId="17">
    <w:abstractNumId w:val="4"/>
  </w:num>
  <w:num w:numId="18">
    <w:abstractNumId w:val="9"/>
  </w:num>
  <w:num w:numId="19">
    <w:abstractNumId w:val="17"/>
  </w:num>
  <w:num w:numId="20">
    <w:abstractNumId w:val="8"/>
  </w:num>
  <w:num w:numId="21">
    <w:abstractNumId w:val="15"/>
  </w:num>
  <w:num w:numId="2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52B"/>
    <w:rsid w:val="0001175F"/>
    <w:rsid w:val="00011A1D"/>
    <w:rsid w:val="00011B5E"/>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34"/>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6FA"/>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78"/>
    <w:rsid w:val="003320B9"/>
    <w:rsid w:val="003323EE"/>
    <w:rsid w:val="00332440"/>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4F4"/>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98"/>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6E38"/>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735"/>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3F4"/>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C5B"/>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A9D"/>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C0A"/>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3B"/>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1FF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C97"/>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925"/>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BB2"/>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38"/>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C57"/>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4"/>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0B"/>
    <w:rsid w:val="009168A4"/>
    <w:rsid w:val="00917044"/>
    <w:rsid w:val="0091713C"/>
    <w:rsid w:val="0091719D"/>
    <w:rsid w:val="00917222"/>
    <w:rsid w:val="009172A9"/>
    <w:rsid w:val="00917442"/>
    <w:rsid w:val="00917803"/>
    <w:rsid w:val="00917B25"/>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9E"/>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470"/>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5C"/>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37F58"/>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B86"/>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BFA"/>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EB5"/>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12B"/>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65E"/>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CF1"/>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542"/>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DB7"/>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765"/>
    <w:rsid w:val="00D66881"/>
    <w:rsid w:val="00D668B8"/>
    <w:rsid w:val="00D668F7"/>
    <w:rsid w:val="00D66A68"/>
    <w:rsid w:val="00D66B53"/>
    <w:rsid w:val="00D66BA1"/>
    <w:rsid w:val="00D66BEC"/>
    <w:rsid w:val="00D66C0E"/>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5B4"/>
    <w:rsid w:val="00E02632"/>
    <w:rsid w:val="00E0272E"/>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A03"/>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8D5"/>
    <w:rsid w:val="00F1090E"/>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2F33"/>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417"/>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AC9"/>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customStyle="1" w:styleId="UnresolvedMention1">
    <w:name w:val="Unresolved Mention1"/>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AF1B8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market-data?mod=BOL_HAMNAV" TargetMode="External"/><Relationship Id="rId13" Type="http://schemas.openxmlformats.org/officeDocument/2006/relationships/hyperlink" Target="https://thedecisionlab.com/biases/loss-aversion" TargetMode="External"/><Relationship Id="rId18" Type="http://schemas.openxmlformats.org/officeDocument/2006/relationships/hyperlink" Target="https://www.fool.com/retirement/general/2014/08/31/5-retirement-quotes-to-make-you-a-smarter-investor.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uters.com/article/us-global-markets-2019-graphic/the-best-year-financial-markets-have-ever-had-idUSKBN1YO266" TargetMode="External"/><Relationship Id="rId17" Type="http://schemas.openxmlformats.org/officeDocument/2006/relationships/hyperlink" Target="https://peakcontent.s3-us-west-2.amazonaws.com/+Peak+Commentary/12-23-19_Navigating_the_Secure_Act_What_Retirement_Savers_Need_To_Know_To_Otimize_Their_401ks_And_IRAS.pdf" TargetMode="External"/><Relationship Id="rId2" Type="http://schemas.openxmlformats.org/officeDocument/2006/relationships/numbering" Target="numbering.xml"/><Relationship Id="rId16" Type="http://schemas.openxmlformats.org/officeDocument/2006/relationships/hyperlink" Target="https://www.barrons.com/articles/navigating-the-secure-act-what-retirement-savers-need-to-know-to-optimize-their-401-k-s-and-iras-51576886142?mod=hp_LEAD_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12-23-19_The_S%26P_Is_Heading_for_Its_Best_Year_Since_2013.pdf" TargetMode="External"/><Relationship Id="rId5" Type="http://schemas.openxmlformats.org/officeDocument/2006/relationships/webSettings" Target="webSettings.xml"/><Relationship Id="rId15" Type="http://schemas.openxmlformats.org/officeDocument/2006/relationships/hyperlink" Target="https://www.drinkerbiddle.com/insights/publications/2019/12/congress-finally-passes-the-secure-act" TargetMode="External"/><Relationship Id="rId10" Type="http://schemas.openxmlformats.org/officeDocument/2006/relationships/hyperlink" Target="https://www.barrons.com/articles/the-s-p-heading-for-best-year-since-2013-what-fueled-the-rally-51576891986?mod=hp_DAY_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akcontent.s3-us-west-2.amazonaws.com/+Peak+Commentary/12-23-19_Barrons_Market_Data.pdf" TargetMode="External"/><Relationship Id="rId14" Type="http://schemas.openxmlformats.org/officeDocument/2006/relationships/hyperlink" Target="https://www.axios.com/2019-record-cash-pulled-out-stocks-5d4763a9-5724-4c64-be23-356c4fcbd0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8B79-41CC-4F12-993E-6895E3FD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1810</Words>
  <Characters>10322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Microsoft</Company>
  <LinksUpToDate>false</LinksUpToDate>
  <CharactersWithSpaces>12108</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03-18-13 CWMG</dc:title>
  <dc:subject/>
  <dc:creator>Carson Coaching</dc:creator>
  <cp:keywords/>
  <dc:description/>
  <cp:lastModifiedBy>Noraleen LeClaire</cp:lastModifiedBy>
  <cp:revision>2</cp:revision>
  <cp:lastPrinted>2019-11-01T15:31:00Z</cp:lastPrinted>
  <dcterms:created xsi:type="dcterms:W3CDTF">2020-01-14T14:47:00Z</dcterms:created>
  <dcterms:modified xsi:type="dcterms:W3CDTF">2020-01-14T14:47:00Z</dcterms:modified>
  <cp:category/>
</cp:coreProperties>
</file>