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50B8CF4A" w:rsidR="00A931D3" w:rsidRPr="00ED6E85" w:rsidRDefault="00A931D3" w:rsidP="0050651D">
      <w:pPr>
        <w:tabs>
          <w:tab w:val="left" w:pos="8550"/>
        </w:tabs>
        <w:jc w:val="center"/>
        <w:rPr>
          <w:rFonts w:ascii="Arial" w:hAnsi="Arial" w:cs="Arial"/>
          <w:b/>
          <w:bCs/>
          <w:color w:val="0D304A"/>
          <w:sz w:val="32"/>
          <w:szCs w:val="32"/>
        </w:rPr>
      </w:pPr>
      <w:r w:rsidRPr="00ED6E85">
        <w:rPr>
          <w:rFonts w:ascii="Arial" w:hAnsi="Arial" w:cs="Arial"/>
          <w:b/>
          <w:bCs/>
          <w:color w:val="0D304A"/>
          <w:sz w:val="32"/>
          <w:szCs w:val="32"/>
        </w:rPr>
        <w:t>Weekly Market Commentary</w:t>
      </w:r>
    </w:p>
    <w:p w14:paraId="02FFEC6F" w14:textId="63586FD2" w:rsidR="00A931D3" w:rsidRPr="00ED6E85" w:rsidRDefault="0047155D" w:rsidP="0050651D">
      <w:pPr>
        <w:tabs>
          <w:tab w:val="left" w:pos="8550"/>
        </w:tabs>
        <w:jc w:val="center"/>
        <w:rPr>
          <w:rFonts w:ascii="Arial" w:hAnsi="Arial" w:cs="Arial"/>
          <w:b/>
          <w:bCs/>
          <w:color w:val="0D304A"/>
          <w:sz w:val="32"/>
          <w:szCs w:val="32"/>
        </w:rPr>
      </w:pPr>
      <w:r w:rsidRPr="00ED6E85">
        <w:rPr>
          <w:rFonts w:ascii="Arial" w:hAnsi="Arial" w:cs="Arial"/>
          <w:b/>
          <w:bCs/>
          <w:color w:val="0D304A"/>
          <w:sz w:val="32"/>
          <w:szCs w:val="32"/>
        </w:rPr>
        <w:t xml:space="preserve">June </w:t>
      </w:r>
      <w:r w:rsidR="003B3E7E" w:rsidRPr="00ED6E85">
        <w:rPr>
          <w:rFonts w:ascii="Arial" w:hAnsi="Arial" w:cs="Arial"/>
          <w:b/>
          <w:bCs/>
          <w:color w:val="0D304A"/>
          <w:sz w:val="32"/>
          <w:szCs w:val="32"/>
        </w:rPr>
        <w:t>2</w:t>
      </w:r>
      <w:r w:rsidR="0042027F" w:rsidRPr="00ED6E85">
        <w:rPr>
          <w:rFonts w:ascii="Arial" w:hAnsi="Arial" w:cs="Arial"/>
          <w:b/>
          <w:bCs/>
          <w:color w:val="0D304A"/>
          <w:sz w:val="32"/>
          <w:szCs w:val="32"/>
        </w:rPr>
        <w:t>8</w:t>
      </w:r>
      <w:r w:rsidR="00A931D3" w:rsidRPr="00ED6E85">
        <w:rPr>
          <w:rFonts w:ascii="Arial" w:hAnsi="Arial" w:cs="Arial"/>
          <w:b/>
          <w:bCs/>
          <w:color w:val="0D304A"/>
          <w:sz w:val="32"/>
          <w:szCs w:val="32"/>
        </w:rPr>
        <w:t>, 2021</w:t>
      </w:r>
    </w:p>
    <w:p w14:paraId="2F1E0A89" w14:textId="77777777" w:rsidR="00A931D3" w:rsidRPr="001A6382" w:rsidRDefault="00A931D3" w:rsidP="0050651D">
      <w:pPr>
        <w:tabs>
          <w:tab w:val="left" w:pos="8550"/>
        </w:tabs>
        <w:jc w:val="center"/>
        <w:rPr>
          <w:rFonts w:ascii="Arial" w:hAnsi="Arial" w:cs="Arial"/>
          <w:b/>
          <w:bCs/>
          <w:color w:val="639D3F"/>
          <w:sz w:val="16"/>
          <w:szCs w:val="16"/>
        </w:rPr>
      </w:pPr>
    </w:p>
    <w:p w14:paraId="2E86E3B1" w14:textId="77777777" w:rsidR="00A931D3" w:rsidRPr="00ED6E85" w:rsidRDefault="00A931D3" w:rsidP="0050651D">
      <w:pPr>
        <w:tabs>
          <w:tab w:val="left" w:pos="8550"/>
        </w:tabs>
        <w:rPr>
          <w:rFonts w:ascii="Arial" w:hAnsi="Arial" w:cs="Arial"/>
          <w:bCs/>
          <w:color w:val="0D304A"/>
        </w:rPr>
      </w:pPr>
      <w:r w:rsidRPr="00ED6E85">
        <w:rPr>
          <w:rFonts w:ascii="Arial" w:hAnsi="Arial" w:cs="Arial"/>
          <w:b/>
          <w:bCs/>
          <w:color w:val="0D304A"/>
          <w:sz w:val="28"/>
          <w:szCs w:val="28"/>
        </w:rPr>
        <w:t>The Markets</w:t>
      </w:r>
      <w:r w:rsidRPr="00ED6E85">
        <w:rPr>
          <w:rFonts w:ascii="Arial" w:hAnsi="Arial" w:cs="Arial"/>
          <w:bCs/>
          <w:color w:val="0D304A"/>
        </w:rPr>
        <w:t xml:space="preserve"> </w:t>
      </w:r>
    </w:p>
    <w:p w14:paraId="4D886B22" w14:textId="52C6C3EC" w:rsidR="00267A14" w:rsidRPr="001A6382" w:rsidRDefault="00267A14" w:rsidP="0050651D">
      <w:pPr>
        <w:tabs>
          <w:tab w:val="left" w:pos="8550"/>
        </w:tabs>
        <w:rPr>
          <w:rFonts w:ascii="Arial" w:hAnsi="Arial" w:cs="Arial"/>
          <w:bCs/>
          <w:color w:val="000000" w:themeColor="text1"/>
          <w:sz w:val="16"/>
          <w:szCs w:val="16"/>
        </w:rPr>
      </w:pPr>
    </w:p>
    <w:p w14:paraId="2E571F82" w14:textId="682D8DC3" w:rsidR="0042027F" w:rsidRPr="00ED6E85" w:rsidRDefault="002E5E35" w:rsidP="0050651D">
      <w:pPr>
        <w:tabs>
          <w:tab w:val="left" w:pos="8550"/>
        </w:tabs>
        <w:rPr>
          <w:rFonts w:ascii="Arial" w:hAnsi="Arial" w:cs="Arial"/>
          <w:bCs/>
          <w:color w:val="000000" w:themeColor="text1"/>
        </w:rPr>
      </w:pPr>
      <w:r w:rsidRPr="00ED6E85">
        <w:rPr>
          <w:rFonts w:ascii="Arial" w:hAnsi="Arial" w:cs="Arial"/>
          <w:bCs/>
          <w:color w:val="000000" w:themeColor="text1"/>
        </w:rPr>
        <w:t xml:space="preserve">What begins with the letter </w:t>
      </w:r>
      <w:r w:rsidR="00F51F17" w:rsidRPr="00ED6E85">
        <w:rPr>
          <w:rFonts w:ascii="Arial" w:hAnsi="Arial" w:cs="Arial"/>
          <w:bCs/>
          <w:color w:val="000000" w:themeColor="text1"/>
        </w:rPr>
        <w:t>“</w:t>
      </w:r>
      <w:r w:rsidRPr="00ED6E85">
        <w:rPr>
          <w:rFonts w:ascii="Arial" w:hAnsi="Arial" w:cs="Arial"/>
          <w:bCs/>
          <w:color w:val="000000" w:themeColor="text1"/>
        </w:rPr>
        <w:t>I</w:t>
      </w:r>
      <w:r w:rsidR="00F51F17" w:rsidRPr="00ED6E85">
        <w:rPr>
          <w:rFonts w:ascii="Arial" w:hAnsi="Arial" w:cs="Arial"/>
          <w:bCs/>
          <w:color w:val="000000" w:themeColor="text1"/>
        </w:rPr>
        <w:t>”</w:t>
      </w:r>
      <w:r w:rsidRPr="00ED6E85">
        <w:rPr>
          <w:rFonts w:ascii="Arial" w:hAnsi="Arial" w:cs="Arial"/>
          <w:bCs/>
          <w:color w:val="000000" w:themeColor="text1"/>
        </w:rPr>
        <w:t>?</w:t>
      </w:r>
    </w:p>
    <w:p w14:paraId="439C1DF4" w14:textId="77777777" w:rsidR="00B477C3" w:rsidRPr="001A6382" w:rsidRDefault="00B477C3" w:rsidP="0050651D">
      <w:pPr>
        <w:tabs>
          <w:tab w:val="left" w:pos="8550"/>
        </w:tabs>
        <w:rPr>
          <w:rFonts w:ascii="Arial" w:hAnsi="Arial" w:cs="Arial"/>
          <w:bCs/>
          <w:color w:val="000000" w:themeColor="text1"/>
          <w:sz w:val="16"/>
          <w:szCs w:val="16"/>
        </w:rPr>
      </w:pPr>
    </w:p>
    <w:p w14:paraId="5AD736DB" w14:textId="4C79B459" w:rsidR="004B475A" w:rsidRPr="00ED6E85" w:rsidRDefault="004B475A" w:rsidP="0050651D">
      <w:pPr>
        <w:tabs>
          <w:tab w:val="left" w:pos="8550"/>
        </w:tabs>
        <w:rPr>
          <w:rFonts w:ascii="Arial" w:hAnsi="Arial" w:cs="Arial"/>
          <w:bCs/>
          <w:color w:val="000000" w:themeColor="text1"/>
        </w:rPr>
      </w:pPr>
      <w:r w:rsidRPr="00ED6E85">
        <w:rPr>
          <w:rFonts w:ascii="Arial" w:hAnsi="Arial" w:cs="Arial"/>
          <w:bCs/>
          <w:color w:val="000000" w:themeColor="text1"/>
        </w:rPr>
        <w:t>Infrastructure is essential and</w:t>
      </w:r>
      <w:r w:rsidR="00B477C3" w:rsidRPr="00ED6E85">
        <w:rPr>
          <w:rFonts w:ascii="Arial" w:hAnsi="Arial" w:cs="Arial"/>
          <w:bCs/>
          <w:color w:val="000000" w:themeColor="text1"/>
        </w:rPr>
        <w:t xml:space="preserve"> sometimes </w:t>
      </w:r>
      <w:r w:rsidRPr="00ED6E85">
        <w:rPr>
          <w:rFonts w:ascii="Arial" w:hAnsi="Arial" w:cs="Arial"/>
          <w:bCs/>
          <w:color w:val="000000" w:themeColor="text1"/>
        </w:rPr>
        <w:t>taken</w:t>
      </w:r>
      <w:r w:rsidR="00357DC9" w:rsidRPr="00ED6E85">
        <w:rPr>
          <w:rFonts w:ascii="Arial" w:hAnsi="Arial" w:cs="Arial"/>
          <w:bCs/>
          <w:color w:val="000000" w:themeColor="text1"/>
        </w:rPr>
        <w:t xml:space="preserve"> </w:t>
      </w:r>
      <w:r w:rsidRPr="00ED6E85">
        <w:rPr>
          <w:rFonts w:ascii="Arial" w:hAnsi="Arial" w:cs="Arial"/>
          <w:bCs/>
          <w:color w:val="000000" w:themeColor="text1"/>
        </w:rPr>
        <w:t>for</w:t>
      </w:r>
      <w:r w:rsidR="00357DC9" w:rsidRPr="00ED6E85">
        <w:rPr>
          <w:rFonts w:ascii="Arial" w:hAnsi="Arial" w:cs="Arial"/>
          <w:bCs/>
          <w:color w:val="000000" w:themeColor="text1"/>
        </w:rPr>
        <w:t xml:space="preserve"> </w:t>
      </w:r>
      <w:r w:rsidRPr="00ED6E85">
        <w:rPr>
          <w:rFonts w:ascii="Arial" w:hAnsi="Arial" w:cs="Arial"/>
          <w:bCs/>
          <w:color w:val="000000" w:themeColor="text1"/>
        </w:rPr>
        <w:t xml:space="preserve">granted. Pipes carry drinking water to </w:t>
      </w:r>
      <w:r w:rsidR="00B477C3" w:rsidRPr="00ED6E85">
        <w:rPr>
          <w:rFonts w:ascii="Arial" w:hAnsi="Arial" w:cs="Arial"/>
          <w:bCs/>
          <w:color w:val="000000" w:themeColor="text1"/>
        </w:rPr>
        <w:t xml:space="preserve">our </w:t>
      </w:r>
      <w:r w:rsidRPr="00ED6E85">
        <w:rPr>
          <w:rFonts w:ascii="Arial" w:hAnsi="Arial" w:cs="Arial"/>
          <w:bCs/>
          <w:color w:val="000000" w:themeColor="text1"/>
        </w:rPr>
        <w:t>homes</w:t>
      </w:r>
      <w:r w:rsidR="00B477C3" w:rsidRPr="00ED6E85">
        <w:rPr>
          <w:rFonts w:ascii="Arial" w:hAnsi="Arial" w:cs="Arial"/>
          <w:bCs/>
          <w:color w:val="000000" w:themeColor="text1"/>
        </w:rPr>
        <w:t>, offices,</w:t>
      </w:r>
      <w:r w:rsidRPr="00ED6E85">
        <w:rPr>
          <w:rFonts w:ascii="Arial" w:hAnsi="Arial" w:cs="Arial"/>
          <w:bCs/>
          <w:color w:val="000000" w:themeColor="text1"/>
        </w:rPr>
        <w:t xml:space="preserve"> and </w:t>
      </w:r>
      <w:r w:rsidR="00B477C3" w:rsidRPr="00ED6E85">
        <w:rPr>
          <w:rFonts w:ascii="Arial" w:hAnsi="Arial" w:cs="Arial"/>
          <w:bCs/>
          <w:color w:val="000000" w:themeColor="text1"/>
        </w:rPr>
        <w:t>healthcare facilities</w:t>
      </w:r>
      <w:r w:rsidRPr="00ED6E85">
        <w:rPr>
          <w:rFonts w:ascii="Arial" w:hAnsi="Arial" w:cs="Arial"/>
          <w:bCs/>
          <w:color w:val="000000" w:themeColor="text1"/>
        </w:rPr>
        <w:t xml:space="preserve">, and carry away </w:t>
      </w:r>
      <w:r w:rsidR="003D4817" w:rsidRPr="00ED6E85">
        <w:rPr>
          <w:rFonts w:ascii="Arial" w:hAnsi="Arial" w:cs="Arial"/>
          <w:bCs/>
          <w:color w:val="000000" w:themeColor="text1"/>
        </w:rPr>
        <w:t>sewage and wastewater</w:t>
      </w:r>
      <w:r w:rsidRPr="00ED6E85">
        <w:rPr>
          <w:rFonts w:ascii="Arial" w:hAnsi="Arial" w:cs="Arial"/>
          <w:bCs/>
          <w:color w:val="000000" w:themeColor="text1"/>
        </w:rPr>
        <w:t xml:space="preserve">. </w:t>
      </w:r>
      <w:r w:rsidR="00B477C3" w:rsidRPr="00ED6E85">
        <w:rPr>
          <w:rFonts w:ascii="Arial" w:hAnsi="Arial" w:cs="Arial"/>
          <w:bCs/>
          <w:color w:val="000000" w:themeColor="text1"/>
        </w:rPr>
        <w:t>Highways, a</w:t>
      </w:r>
      <w:r w:rsidRPr="00ED6E85">
        <w:rPr>
          <w:rFonts w:ascii="Arial" w:hAnsi="Arial" w:cs="Arial"/>
          <w:bCs/>
          <w:color w:val="000000" w:themeColor="text1"/>
        </w:rPr>
        <w:t>irports, railroads, waterways</w:t>
      </w:r>
      <w:r w:rsidR="00B477C3" w:rsidRPr="00ED6E85">
        <w:rPr>
          <w:rFonts w:ascii="Arial" w:hAnsi="Arial" w:cs="Arial"/>
          <w:bCs/>
          <w:color w:val="000000" w:themeColor="text1"/>
        </w:rPr>
        <w:t>, roads, and bridges</w:t>
      </w:r>
      <w:r w:rsidRPr="00ED6E85">
        <w:rPr>
          <w:rFonts w:ascii="Arial" w:hAnsi="Arial" w:cs="Arial"/>
          <w:bCs/>
          <w:color w:val="000000" w:themeColor="text1"/>
        </w:rPr>
        <w:t xml:space="preserve"> </w:t>
      </w:r>
      <w:r w:rsidR="00272248" w:rsidRPr="00ED6E85">
        <w:rPr>
          <w:rFonts w:ascii="Arial" w:hAnsi="Arial" w:cs="Arial"/>
          <w:bCs/>
          <w:color w:val="000000" w:themeColor="text1"/>
        </w:rPr>
        <w:t>make efficient</w:t>
      </w:r>
      <w:r w:rsidR="00B477C3" w:rsidRPr="00ED6E85">
        <w:rPr>
          <w:rFonts w:ascii="Arial" w:hAnsi="Arial" w:cs="Arial"/>
          <w:bCs/>
          <w:color w:val="000000" w:themeColor="text1"/>
        </w:rPr>
        <w:t xml:space="preserve"> transportation of </w:t>
      </w:r>
      <w:r w:rsidRPr="00ED6E85">
        <w:rPr>
          <w:rFonts w:ascii="Arial" w:hAnsi="Arial" w:cs="Arial"/>
          <w:bCs/>
          <w:color w:val="000000" w:themeColor="text1"/>
        </w:rPr>
        <w:t>goods</w:t>
      </w:r>
      <w:r w:rsidR="00B477C3" w:rsidRPr="00ED6E85">
        <w:rPr>
          <w:rFonts w:ascii="Arial" w:hAnsi="Arial" w:cs="Arial"/>
          <w:bCs/>
          <w:color w:val="000000" w:themeColor="text1"/>
        </w:rPr>
        <w:t xml:space="preserve"> and safe travel</w:t>
      </w:r>
      <w:r w:rsidR="00272248" w:rsidRPr="00ED6E85">
        <w:rPr>
          <w:rFonts w:ascii="Arial" w:hAnsi="Arial" w:cs="Arial"/>
          <w:bCs/>
          <w:color w:val="000000" w:themeColor="text1"/>
        </w:rPr>
        <w:t xml:space="preserve"> possible</w:t>
      </w:r>
      <w:r w:rsidRPr="00ED6E85">
        <w:rPr>
          <w:rFonts w:ascii="Arial" w:hAnsi="Arial" w:cs="Arial"/>
          <w:bCs/>
          <w:color w:val="000000" w:themeColor="text1"/>
        </w:rPr>
        <w:t xml:space="preserve">. </w:t>
      </w:r>
      <w:r w:rsidR="00272248" w:rsidRPr="00ED6E85">
        <w:rPr>
          <w:rFonts w:ascii="Arial" w:hAnsi="Arial" w:cs="Arial"/>
          <w:bCs/>
          <w:color w:val="000000" w:themeColor="text1"/>
        </w:rPr>
        <w:t>Energy</w:t>
      </w:r>
      <w:r w:rsidR="00B477C3" w:rsidRPr="00ED6E85">
        <w:rPr>
          <w:rFonts w:ascii="Arial" w:hAnsi="Arial" w:cs="Arial"/>
          <w:bCs/>
          <w:color w:val="000000" w:themeColor="text1"/>
        </w:rPr>
        <w:t xml:space="preserve"> </w:t>
      </w:r>
      <w:r w:rsidR="00272248" w:rsidRPr="00ED6E85">
        <w:rPr>
          <w:rFonts w:ascii="Arial" w:hAnsi="Arial" w:cs="Arial"/>
          <w:bCs/>
          <w:color w:val="000000" w:themeColor="text1"/>
        </w:rPr>
        <w:t>systems</w:t>
      </w:r>
      <w:r w:rsidR="003D4817" w:rsidRPr="00ED6E85">
        <w:rPr>
          <w:rFonts w:ascii="Arial" w:hAnsi="Arial" w:cs="Arial"/>
          <w:bCs/>
          <w:color w:val="000000" w:themeColor="text1"/>
        </w:rPr>
        <w:t xml:space="preserve"> and transmission lines</w:t>
      </w:r>
      <w:r w:rsidR="00B477C3" w:rsidRPr="00ED6E85">
        <w:rPr>
          <w:rFonts w:ascii="Arial" w:hAnsi="Arial" w:cs="Arial"/>
          <w:bCs/>
          <w:color w:val="000000" w:themeColor="text1"/>
        </w:rPr>
        <w:t xml:space="preserve"> </w:t>
      </w:r>
      <w:r w:rsidRPr="00ED6E85">
        <w:rPr>
          <w:rFonts w:ascii="Arial" w:hAnsi="Arial" w:cs="Arial"/>
          <w:bCs/>
          <w:color w:val="000000" w:themeColor="text1"/>
        </w:rPr>
        <w:t>keep the lights</w:t>
      </w:r>
      <w:r w:rsidR="00B477C3" w:rsidRPr="00ED6E85">
        <w:rPr>
          <w:rFonts w:ascii="Arial" w:hAnsi="Arial" w:cs="Arial"/>
          <w:bCs/>
          <w:color w:val="000000" w:themeColor="text1"/>
        </w:rPr>
        <w:t xml:space="preserve"> on</w:t>
      </w:r>
      <w:r w:rsidR="00272248" w:rsidRPr="00ED6E85">
        <w:rPr>
          <w:rFonts w:ascii="Arial" w:hAnsi="Arial" w:cs="Arial"/>
          <w:bCs/>
          <w:color w:val="000000" w:themeColor="text1"/>
        </w:rPr>
        <w:t xml:space="preserve"> and the stove cooking</w:t>
      </w:r>
      <w:r w:rsidR="00B477C3" w:rsidRPr="00ED6E85">
        <w:rPr>
          <w:rFonts w:ascii="Arial" w:hAnsi="Arial" w:cs="Arial"/>
          <w:bCs/>
          <w:color w:val="000000" w:themeColor="text1"/>
        </w:rPr>
        <w:t>. Broadband data transmissions systems assure high spe</w:t>
      </w:r>
      <w:r w:rsidR="00E11BB5">
        <w:rPr>
          <w:rFonts w:ascii="Arial" w:hAnsi="Arial" w:cs="Arial"/>
          <w:bCs/>
          <w:color w:val="000000" w:themeColor="text1"/>
        </w:rPr>
        <w:t>e</w:t>
      </w:r>
      <w:r w:rsidR="00B477C3" w:rsidRPr="00ED6E85">
        <w:rPr>
          <w:rFonts w:ascii="Arial" w:hAnsi="Arial" w:cs="Arial"/>
          <w:bCs/>
          <w:color w:val="000000" w:themeColor="text1"/>
        </w:rPr>
        <w:t>d internet access.</w:t>
      </w:r>
    </w:p>
    <w:p w14:paraId="1131A28C" w14:textId="77777777" w:rsidR="000D1C7E" w:rsidRPr="001A6382" w:rsidRDefault="000D1C7E" w:rsidP="0050651D">
      <w:pPr>
        <w:tabs>
          <w:tab w:val="left" w:pos="8550"/>
        </w:tabs>
        <w:rPr>
          <w:rFonts w:ascii="Arial" w:hAnsi="Arial" w:cs="Arial"/>
          <w:bCs/>
          <w:color w:val="000000" w:themeColor="text1"/>
          <w:sz w:val="16"/>
          <w:szCs w:val="16"/>
        </w:rPr>
      </w:pPr>
    </w:p>
    <w:p w14:paraId="4B91B94B" w14:textId="74089764" w:rsidR="00A75470" w:rsidRPr="00ED6E85" w:rsidRDefault="00A20672" w:rsidP="0050651D">
      <w:pPr>
        <w:tabs>
          <w:tab w:val="left" w:pos="8550"/>
        </w:tabs>
        <w:rPr>
          <w:rFonts w:ascii="Arial" w:hAnsi="Arial" w:cs="Arial"/>
          <w:bCs/>
          <w:color w:val="000000" w:themeColor="text1"/>
        </w:rPr>
      </w:pPr>
      <w:r w:rsidRPr="00ED6E85">
        <w:rPr>
          <w:rFonts w:ascii="Arial" w:hAnsi="Arial" w:cs="Arial"/>
          <w:bCs/>
          <w:color w:val="000000" w:themeColor="text1"/>
        </w:rPr>
        <w:t>On Thursday</w:t>
      </w:r>
      <w:r w:rsidR="000D1C7E" w:rsidRPr="00ED6E85">
        <w:rPr>
          <w:rFonts w:ascii="Arial" w:hAnsi="Arial" w:cs="Arial"/>
          <w:bCs/>
          <w:color w:val="000000" w:themeColor="text1"/>
        </w:rPr>
        <w:t xml:space="preserve">, </w:t>
      </w:r>
      <w:r w:rsidRPr="00ED6E85">
        <w:rPr>
          <w:rFonts w:ascii="Arial" w:hAnsi="Arial" w:cs="Arial"/>
          <w:bCs/>
          <w:color w:val="000000" w:themeColor="text1"/>
        </w:rPr>
        <w:t>President</w:t>
      </w:r>
      <w:r w:rsidR="000D1C7E" w:rsidRPr="00ED6E85">
        <w:rPr>
          <w:rFonts w:ascii="Arial" w:hAnsi="Arial" w:cs="Arial"/>
          <w:bCs/>
          <w:color w:val="000000" w:themeColor="text1"/>
        </w:rPr>
        <w:t xml:space="preserve"> </w:t>
      </w:r>
      <w:r w:rsidR="00F925C0" w:rsidRPr="00ED6E85">
        <w:rPr>
          <w:rFonts w:ascii="Arial" w:hAnsi="Arial" w:cs="Arial"/>
          <w:bCs/>
          <w:color w:val="000000" w:themeColor="text1"/>
        </w:rPr>
        <w:t xml:space="preserve">Biden </w:t>
      </w:r>
      <w:r w:rsidR="000D1C7E" w:rsidRPr="00ED6E85">
        <w:rPr>
          <w:rFonts w:ascii="Arial" w:hAnsi="Arial" w:cs="Arial"/>
          <w:bCs/>
          <w:color w:val="000000" w:themeColor="text1"/>
        </w:rPr>
        <w:t xml:space="preserve">and a bipartisan group of </w:t>
      </w:r>
      <w:r w:rsidR="00F925C0" w:rsidRPr="00ED6E85">
        <w:rPr>
          <w:rFonts w:ascii="Arial" w:hAnsi="Arial" w:cs="Arial"/>
          <w:bCs/>
          <w:color w:val="000000" w:themeColor="text1"/>
        </w:rPr>
        <w:t>s</w:t>
      </w:r>
      <w:r w:rsidR="000D1C7E" w:rsidRPr="00ED6E85">
        <w:rPr>
          <w:rFonts w:ascii="Arial" w:hAnsi="Arial" w:cs="Arial"/>
          <w:bCs/>
          <w:color w:val="000000" w:themeColor="text1"/>
        </w:rPr>
        <w:t xml:space="preserve">enators announced that progress had been made on </w:t>
      </w:r>
      <w:r w:rsidRPr="00ED6E85">
        <w:rPr>
          <w:rFonts w:ascii="Arial" w:hAnsi="Arial" w:cs="Arial"/>
          <w:bCs/>
          <w:color w:val="000000" w:themeColor="text1"/>
        </w:rPr>
        <w:t>the</w:t>
      </w:r>
      <w:r w:rsidR="00B477C3" w:rsidRPr="00ED6E85">
        <w:rPr>
          <w:rFonts w:ascii="Arial" w:hAnsi="Arial" w:cs="Arial"/>
          <w:bCs/>
          <w:color w:val="000000" w:themeColor="text1"/>
        </w:rPr>
        <w:t xml:space="preserve"> framework</w:t>
      </w:r>
      <w:r w:rsidRPr="00ED6E85">
        <w:rPr>
          <w:rFonts w:ascii="Arial" w:hAnsi="Arial" w:cs="Arial"/>
          <w:bCs/>
          <w:color w:val="000000" w:themeColor="text1"/>
        </w:rPr>
        <w:t xml:space="preserve"> for a bipartisan infrastructure plan</w:t>
      </w:r>
      <w:r w:rsidR="000D1C7E" w:rsidRPr="00ED6E85">
        <w:rPr>
          <w:rFonts w:ascii="Arial" w:hAnsi="Arial" w:cs="Arial"/>
          <w:bCs/>
          <w:color w:val="000000" w:themeColor="text1"/>
        </w:rPr>
        <w:t>.</w:t>
      </w:r>
      <w:r w:rsidRPr="00ED6E85">
        <w:rPr>
          <w:rFonts w:ascii="Arial" w:hAnsi="Arial" w:cs="Arial"/>
          <w:bCs/>
          <w:color w:val="000000" w:themeColor="text1"/>
        </w:rPr>
        <w:t xml:space="preserve"> Investors were happy to hear it.</w:t>
      </w:r>
      <w:r w:rsidR="00B477C3" w:rsidRPr="00ED6E85">
        <w:rPr>
          <w:rFonts w:ascii="Arial" w:hAnsi="Arial" w:cs="Arial"/>
          <w:bCs/>
          <w:color w:val="000000" w:themeColor="text1"/>
        </w:rPr>
        <w:t xml:space="preserve"> </w:t>
      </w:r>
      <w:r w:rsidR="002E5E35" w:rsidRPr="00ED6E85">
        <w:rPr>
          <w:rFonts w:ascii="Arial" w:hAnsi="Arial" w:cs="Arial"/>
          <w:bCs/>
          <w:color w:val="000000" w:themeColor="text1"/>
        </w:rPr>
        <w:t>Randall Forsyth</w:t>
      </w:r>
      <w:r w:rsidR="00A67D86" w:rsidRPr="00ED6E85">
        <w:rPr>
          <w:rFonts w:ascii="Arial" w:hAnsi="Arial" w:cs="Arial"/>
          <w:bCs/>
          <w:color w:val="000000" w:themeColor="text1"/>
        </w:rPr>
        <w:t xml:space="preserve"> of </w:t>
      </w:r>
      <w:r w:rsidR="00A67D86" w:rsidRPr="00ED6E85">
        <w:rPr>
          <w:rFonts w:ascii="Arial" w:hAnsi="Arial" w:cs="Arial"/>
          <w:bCs/>
          <w:i/>
          <w:iCs/>
          <w:color w:val="000000" w:themeColor="text1"/>
        </w:rPr>
        <w:t>Barron’s</w:t>
      </w:r>
      <w:r w:rsidR="00B477C3" w:rsidRPr="00ED6E85">
        <w:rPr>
          <w:rFonts w:ascii="Arial" w:hAnsi="Arial" w:cs="Arial"/>
          <w:bCs/>
          <w:color w:val="000000" w:themeColor="text1"/>
        </w:rPr>
        <w:t xml:space="preserve"> reported</w:t>
      </w:r>
      <w:r w:rsidR="00E11BB5">
        <w:rPr>
          <w:rFonts w:ascii="Arial" w:hAnsi="Arial" w:cs="Arial"/>
          <w:bCs/>
          <w:color w:val="000000" w:themeColor="text1"/>
        </w:rPr>
        <w:t xml:space="preserve">: </w:t>
      </w:r>
    </w:p>
    <w:p w14:paraId="11D3F510" w14:textId="0B6D1C04" w:rsidR="00B477C3" w:rsidRPr="001A6382" w:rsidRDefault="00B477C3" w:rsidP="0050651D">
      <w:pPr>
        <w:tabs>
          <w:tab w:val="left" w:pos="8550"/>
        </w:tabs>
        <w:rPr>
          <w:rFonts w:ascii="Arial" w:hAnsi="Arial" w:cs="Arial"/>
          <w:bCs/>
          <w:color w:val="000000" w:themeColor="text1"/>
          <w:sz w:val="16"/>
          <w:szCs w:val="16"/>
        </w:rPr>
      </w:pPr>
    </w:p>
    <w:p w14:paraId="73D87794" w14:textId="08A4C819" w:rsidR="00B477C3" w:rsidRPr="00ED6E85" w:rsidRDefault="00B477C3" w:rsidP="00B477C3">
      <w:pPr>
        <w:tabs>
          <w:tab w:val="left" w:pos="8550"/>
        </w:tabs>
        <w:rPr>
          <w:rFonts w:ascii="Arial" w:hAnsi="Arial" w:cs="Arial"/>
          <w:bCs/>
          <w:color w:val="000000" w:themeColor="text1"/>
        </w:rPr>
      </w:pPr>
      <w:r w:rsidRPr="00ED6E85">
        <w:rPr>
          <w:rFonts w:ascii="Arial" w:hAnsi="Arial" w:cs="Arial"/>
          <w:bCs/>
          <w:color w:val="000000" w:themeColor="text1"/>
        </w:rPr>
        <w:t>“</w:t>
      </w:r>
      <w:r w:rsidR="005B5FF7" w:rsidRPr="00ED6E85">
        <w:rPr>
          <w:rFonts w:ascii="Arial" w:hAnsi="Arial" w:cs="Arial"/>
          <w:bCs/>
          <w:color w:val="000000" w:themeColor="text1"/>
        </w:rPr>
        <w:t>…</w:t>
      </w:r>
      <w:r w:rsidR="002E5E35" w:rsidRPr="00ED6E85">
        <w:rPr>
          <w:rFonts w:ascii="Arial" w:hAnsi="Arial" w:cs="Arial"/>
          <w:bCs/>
          <w:color w:val="000000" w:themeColor="text1"/>
        </w:rPr>
        <w:t>Washington this past week finally took steps to address the nation’s manifest deficiencies in its infrastructure…Perhaps tellingly, the bond market had only a minimal reaction to the prospect of further government spending. But stocks of companies that could see a bonanza of dollars flowing from D.C. had double-digit gains on the week, and the indexes notched gains averaging around 3%, with the S&amp;P 500 ending at a record.</w:t>
      </w:r>
      <w:r w:rsidR="00A67D86" w:rsidRPr="00ED6E85">
        <w:rPr>
          <w:rFonts w:ascii="Arial" w:hAnsi="Arial" w:cs="Arial"/>
          <w:bCs/>
          <w:color w:val="000000" w:themeColor="text1"/>
        </w:rPr>
        <w:t>”</w:t>
      </w:r>
    </w:p>
    <w:p w14:paraId="2DC857D3" w14:textId="79DDF24C" w:rsidR="00F51F17" w:rsidRPr="001A6382" w:rsidRDefault="00F51F17" w:rsidP="00B477C3">
      <w:pPr>
        <w:tabs>
          <w:tab w:val="left" w:pos="8550"/>
        </w:tabs>
        <w:rPr>
          <w:rFonts w:ascii="Arial" w:hAnsi="Arial" w:cs="Arial"/>
          <w:bCs/>
          <w:color w:val="000000" w:themeColor="text1"/>
          <w:sz w:val="16"/>
          <w:szCs w:val="16"/>
        </w:rPr>
      </w:pPr>
    </w:p>
    <w:p w14:paraId="427C2E78" w14:textId="1F970407" w:rsidR="000D7E7F" w:rsidRPr="00ED6E85" w:rsidRDefault="00F51F17" w:rsidP="00B477C3">
      <w:pPr>
        <w:tabs>
          <w:tab w:val="left" w:pos="8550"/>
        </w:tabs>
        <w:rPr>
          <w:rFonts w:ascii="Arial" w:hAnsi="Arial" w:cs="Arial"/>
          <w:bCs/>
          <w:color w:val="000000" w:themeColor="text1"/>
        </w:rPr>
      </w:pPr>
      <w:r w:rsidRPr="00ED6E85">
        <w:rPr>
          <w:rFonts w:ascii="Arial" w:hAnsi="Arial" w:cs="Arial"/>
          <w:bCs/>
          <w:color w:val="000000" w:themeColor="text1"/>
        </w:rPr>
        <w:t>Financial markets paid less attention to the other “I”</w:t>
      </w:r>
      <w:r w:rsidR="00E11BB5">
        <w:rPr>
          <w:rFonts w:ascii="Arial" w:hAnsi="Arial" w:cs="Arial"/>
          <w:bCs/>
          <w:color w:val="000000" w:themeColor="text1"/>
        </w:rPr>
        <w:t xml:space="preserve"> – </w:t>
      </w:r>
      <w:r w:rsidRPr="00ED6E85">
        <w:rPr>
          <w:rFonts w:ascii="Arial" w:hAnsi="Arial" w:cs="Arial"/>
          <w:bCs/>
          <w:color w:val="000000" w:themeColor="text1"/>
        </w:rPr>
        <w:t xml:space="preserve">inflation. </w:t>
      </w:r>
    </w:p>
    <w:p w14:paraId="3E421D87" w14:textId="77777777" w:rsidR="000D7E7F" w:rsidRPr="001A6382" w:rsidRDefault="000D7E7F" w:rsidP="00B477C3">
      <w:pPr>
        <w:tabs>
          <w:tab w:val="left" w:pos="8550"/>
        </w:tabs>
        <w:rPr>
          <w:rFonts w:ascii="Arial" w:hAnsi="Arial" w:cs="Arial"/>
          <w:bCs/>
          <w:color w:val="000000" w:themeColor="text1"/>
          <w:sz w:val="16"/>
          <w:szCs w:val="16"/>
        </w:rPr>
      </w:pPr>
    </w:p>
    <w:p w14:paraId="52A533BC" w14:textId="349D28CC" w:rsidR="00F51F17" w:rsidRPr="00ED6E85" w:rsidRDefault="00DA2679" w:rsidP="00B477C3">
      <w:pPr>
        <w:tabs>
          <w:tab w:val="left" w:pos="8550"/>
        </w:tabs>
        <w:rPr>
          <w:rFonts w:ascii="Arial" w:hAnsi="Arial" w:cs="Arial"/>
          <w:bCs/>
          <w:color w:val="000000" w:themeColor="text1"/>
        </w:rPr>
      </w:pPr>
      <w:r w:rsidRPr="00ED6E85">
        <w:rPr>
          <w:rFonts w:ascii="Arial" w:hAnsi="Arial" w:cs="Arial"/>
          <w:bCs/>
          <w:color w:val="000000" w:themeColor="text1"/>
        </w:rPr>
        <w:t xml:space="preserve">On Friday, </w:t>
      </w:r>
      <w:r w:rsidR="000D7E7F" w:rsidRPr="00ED6E85">
        <w:rPr>
          <w:rFonts w:ascii="Arial" w:hAnsi="Arial" w:cs="Arial"/>
          <w:bCs/>
          <w:color w:val="000000" w:themeColor="text1"/>
        </w:rPr>
        <w:t xml:space="preserve">The </w:t>
      </w:r>
      <w:r w:rsidR="000D7E7F" w:rsidRPr="00E11BB5">
        <w:rPr>
          <w:rFonts w:ascii="Arial" w:hAnsi="Arial" w:cs="Arial"/>
          <w:bCs/>
          <w:color w:val="000000" w:themeColor="text1"/>
        </w:rPr>
        <w:t>Bureau of Economic Analysis</w:t>
      </w:r>
      <w:r w:rsidR="000D7E7F" w:rsidRPr="00ED6E85">
        <w:rPr>
          <w:rFonts w:ascii="Arial" w:hAnsi="Arial" w:cs="Arial"/>
          <w:bCs/>
          <w:color w:val="000000" w:themeColor="text1"/>
        </w:rPr>
        <w:t xml:space="preserve"> reported on t</w:t>
      </w:r>
      <w:r w:rsidRPr="00ED6E85">
        <w:rPr>
          <w:rFonts w:ascii="Arial" w:hAnsi="Arial" w:cs="Arial"/>
          <w:bCs/>
          <w:color w:val="000000" w:themeColor="text1"/>
        </w:rPr>
        <w:t>he Federal Reserve’s favorite inflation measure, core personal consumption expenditures (PCE)</w:t>
      </w:r>
      <w:r w:rsidR="000D7E7F" w:rsidRPr="00ED6E85">
        <w:rPr>
          <w:rFonts w:ascii="Arial" w:hAnsi="Arial" w:cs="Arial"/>
          <w:bCs/>
          <w:color w:val="000000" w:themeColor="text1"/>
        </w:rPr>
        <w:t>. P</w:t>
      </w:r>
      <w:r w:rsidRPr="00ED6E85">
        <w:rPr>
          <w:rFonts w:ascii="Arial" w:hAnsi="Arial" w:cs="Arial"/>
          <w:bCs/>
          <w:color w:val="000000" w:themeColor="text1"/>
        </w:rPr>
        <w:t>rices</w:t>
      </w:r>
      <w:r w:rsidR="00F925C0" w:rsidRPr="00ED6E85">
        <w:rPr>
          <w:rFonts w:ascii="Arial" w:hAnsi="Arial" w:cs="Arial"/>
          <w:bCs/>
          <w:color w:val="000000" w:themeColor="text1"/>
        </w:rPr>
        <w:t>, excluding food and energy,</w:t>
      </w:r>
      <w:r w:rsidRPr="00ED6E85">
        <w:rPr>
          <w:rFonts w:ascii="Arial" w:hAnsi="Arial" w:cs="Arial"/>
          <w:bCs/>
          <w:color w:val="000000" w:themeColor="text1"/>
        </w:rPr>
        <w:t xml:space="preserve"> </w:t>
      </w:r>
      <w:r w:rsidR="000D7E7F" w:rsidRPr="00ED6E85">
        <w:rPr>
          <w:rFonts w:ascii="Arial" w:hAnsi="Arial" w:cs="Arial"/>
          <w:bCs/>
          <w:color w:val="000000" w:themeColor="text1"/>
        </w:rPr>
        <w:t>were up</w:t>
      </w:r>
      <w:r w:rsidRPr="00ED6E85">
        <w:rPr>
          <w:rFonts w:ascii="Arial" w:hAnsi="Arial" w:cs="Arial"/>
          <w:bCs/>
          <w:color w:val="000000" w:themeColor="text1"/>
        </w:rPr>
        <w:t xml:space="preserve"> 3.4 percent </w:t>
      </w:r>
      <w:r w:rsidR="005B5FF7" w:rsidRPr="00ED6E85">
        <w:rPr>
          <w:rFonts w:ascii="Arial" w:hAnsi="Arial" w:cs="Arial"/>
          <w:bCs/>
          <w:color w:val="000000" w:themeColor="text1"/>
        </w:rPr>
        <w:t>from May 2020 to</w:t>
      </w:r>
      <w:r w:rsidRPr="00ED6E85">
        <w:rPr>
          <w:rFonts w:ascii="Arial" w:hAnsi="Arial" w:cs="Arial"/>
          <w:bCs/>
          <w:color w:val="000000" w:themeColor="text1"/>
        </w:rPr>
        <w:t xml:space="preserve"> May 2021</w:t>
      </w:r>
      <w:r w:rsidR="000D7E7F" w:rsidRPr="00ED6E85">
        <w:rPr>
          <w:rFonts w:ascii="Arial" w:hAnsi="Arial" w:cs="Arial"/>
          <w:bCs/>
          <w:color w:val="000000" w:themeColor="text1"/>
        </w:rPr>
        <w:t>. F</w:t>
      </w:r>
      <w:r w:rsidR="000018DF" w:rsidRPr="00ED6E85">
        <w:rPr>
          <w:rFonts w:ascii="Arial" w:hAnsi="Arial" w:cs="Arial"/>
          <w:bCs/>
          <w:color w:val="000000" w:themeColor="text1"/>
        </w:rPr>
        <w:t>rom April</w:t>
      </w:r>
      <w:r w:rsidR="005B5FF7" w:rsidRPr="00ED6E85">
        <w:rPr>
          <w:rFonts w:ascii="Arial" w:hAnsi="Arial" w:cs="Arial"/>
          <w:bCs/>
          <w:color w:val="000000" w:themeColor="text1"/>
        </w:rPr>
        <w:t xml:space="preserve"> 2021</w:t>
      </w:r>
      <w:r w:rsidR="000018DF" w:rsidRPr="00ED6E85">
        <w:rPr>
          <w:rFonts w:ascii="Arial" w:hAnsi="Arial" w:cs="Arial"/>
          <w:bCs/>
          <w:color w:val="000000" w:themeColor="text1"/>
        </w:rPr>
        <w:t xml:space="preserve"> to May</w:t>
      </w:r>
      <w:r w:rsidR="005B5FF7" w:rsidRPr="00ED6E85">
        <w:rPr>
          <w:rFonts w:ascii="Arial" w:hAnsi="Arial" w:cs="Arial"/>
          <w:bCs/>
          <w:color w:val="000000" w:themeColor="text1"/>
        </w:rPr>
        <w:t xml:space="preserve"> 2021</w:t>
      </w:r>
      <w:r w:rsidR="000018DF" w:rsidRPr="00ED6E85">
        <w:rPr>
          <w:rFonts w:ascii="Arial" w:hAnsi="Arial" w:cs="Arial"/>
          <w:bCs/>
          <w:color w:val="000000" w:themeColor="text1"/>
        </w:rPr>
        <w:t>, PCE increased 0.5 percent which was lower than the previous month</w:t>
      </w:r>
      <w:r w:rsidR="005B5FF7" w:rsidRPr="00ED6E85">
        <w:rPr>
          <w:rFonts w:ascii="Arial" w:hAnsi="Arial" w:cs="Arial"/>
          <w:bCs/>
          <w:color w:val="000000" w:themeColor="text1"/>
        </w:rPr>
        <w:t>-to-month</w:t>
      </w:r>
      <w:r w:rsidR="000018DF" w:rsidRPr="00ED6E85">
        <w:rPr>
          <w:rFonts w:ascii="Arial" w:hAnsi="Arial" w:cs="Arial"/>
          <w:bCs/>
          <w:color w:val="000000" w:themeColor="text1"/>
        </w:rPr>
        <w:t xml:space="preserve"> increase.</w:t>
      </w:r>
    </w:p>
    <w:p w14:paraId="34D80CC8" w14:textId="216A47DC" w:rsidR="0083029D" w:rsidRPr="001A6382" w:rsidRDefault="0083029D" w:rsidP="0050651D">
      <w:pPr>
        <w:tabs>
          <w:tab w:val="left" w:pos="8550"/>
        </w:tabs>
        <w:rPr>
          <w:rFonts w:ascii="Arial" w:hAnsi="Arial" w:cs="Arial"/>
          <w:bCs/>
          <w:color w:val="000000" w:themeColor="text1"/>
          <w:sz w:val="16"/>
          <w:szCs w:val="16"/>
        </w:rPr>
      </w:pPr>
    </w:p>
    <w:p w14:paraId="05537A26" w14:textId="0C32D90D" w:rsidR="00C61F62" w:rsidRPr="00ED6E85" w:rsidRDefault="00265B3C" w:rsidP="0050651D">
      <w:pPr>
        <w:tabs>
          <w:tab w:val="left" w:pos="8550"/>
        </w:tabs>
        <w:rPr>
          <w:rFonts w:ascii="Arial" w:hAnsi="Arial" w:cs="Arial"/>
          <w:bCs/>
          <w:color w:val="000000" w:themeColor="text1"/>
        </w:rPr>
      </w:pPr>
      <w:r w:rsidRPr="00ED6E85">
        <w:rPr>
          <w:rFonts w:ascii="Arial" w:hAnsi="Arial" w:cs="Arial"/>
          <w:bCs/>
          <w:color w:val="000000" w:themeColor="text1"/>
        </w:rPr>
        <w:t>Yields on 10-year U.S. Treasuries moved slightly higher last week</w:t>
      </w:r>
      <w:r w:rsidR="00503B1E" w:rsidRPr="00ED6E85">
        <w:rPr>
          <w:rFonts w:ascii="Arial" w:hAnsi="Arial" w:cs="Arial"/>
          <w:bCs/>
          <w:color w:val="000000" w:themeColor="text1"/>
        </w:rPr>
        <w:t>,</w:t>
      </w:r>
      <w:r w:rsidRPr="00ED6E85">
        <w:rPr>
          <w:rFonts w:ascii="Arial" w:hAnsi="Arial" w:cs="Arial"/>
          <w:bCs/>
          <w:color w:val="000000" w:themeColor="text1"/>
        </w:rPr>
        <w:t xml:space="preserve"> and U.S. stocks had their best week since February, reported Naomi </w:t>
      </w:r>
      <w:proofErr w:type="spellStart"/>
      <w:r w:rsidRPr="00ED6E85">
        <w:rPr>
          <w:rFonts w:ascii="Arial" w:hAnsi="Arial" w:cs="Arial"/>
          <w:bCs/>
          <w:color w:val="000000" w:themeColor="text1"/>
        </w:rPr>
        <w:t>Rovnick</w:t>
      </w:r>
      <w:proofErr w:type="spellEnd"/>
      <w:r w:rsidRPr="00ED6E85">
        <w:rPr>
          <w:rFonts w:ascii="Arial" w:hAnsi="Arial" w:cs="Arial"/>
          <w:bCs/>
          <w:color w:val="000000" w:themeColor="text1"/>
        </w:rPr>
        <w:t xml:space="preserve"> and Francesca Friday of the </w:t>
      </w:r>
      <w:r w:rsidRPr="00ED6E85">
        <w:rPr>
          <w:rFonts w:ascii="Arial" w:hAnsi="Arial" w:cs="Arial"/>
          <w:bCs/>
          <w:i/>
          <w:iCs/>
          <w:color w:val="000000" w:themeColor="text1"/>
        </w:rPr>
        <w:t>Financial Times</w:t>
      </w:r>
      <w:r w:rsidRPr="00ED6E85">
        <w:rPr>
          <w:rFonts w:ascii="Arial" w:hAnsi="Arial" w:cs="Arial"/>
          <w:bCs/>
          <w:color w:val="000000" w:themeColor="text1"/>
        </w:rPr>
        <w:t>.</w:t>
      </w:r>
    </w:p>
    <w:p w14:paraId="00A07F7F" w14:textId="77777777" w:rsidR="00C61F62" w:rsidRPr="001A6382" w:rsidRDefault="00C61F62" w:rsidP="0050651D">
      <w:pPr>
        <w:tabs>
          <w:tab w:val="left" w:pos="8550"/>
        </w:tabs>
        <w:rPr>
          <w:rFonts w:ascii="Arial" w:hAnsi="Arial" w:cs="Arial"/>
          <w:bCs/>
          <w:color w:val="000000" w:themeColor="text1"/>
          <w:sz w:val="16"/>
          <w:szCs w:val="16"/>
        </w:rPr>
      </w:pPr>
    </w:p>
    <w:p w14:paraId="679B07E4" w14:textId="6E609E24" w:rsidR="00A931D3" w:rsidRPr="00ED6E85" w:rsidRDefault="00A931D3" w:rsidP="0050651D">
      <w:pPr>
        <w:tabs>
          <w:tab w:val="left" w:pos="8550"/>
        </w:tabs>
        <w:rPr>
          <w:rFonts w:ascii="Arial" w:hAnsi="Arial" w:cs="Arial"/>
          <w:bCs/>
          <w:color w:val="000000" w:themeColor="text1"/>
        </w:rPr>
      </w:pPr>
      <w:r w:rsidRPr="00ED6E85">
        <w:rPr>
          <w:rFonts w:ascii="Arial" w:hAnsi="Arial" w:cs="Arial"/>
          <w:bCs/>
          <w:color w:val="000000" w:themeColor="text1"/>
        </w:rPr>
        <w:t xml:space="preserve">(The one-year numbers in the scorecard below remain noteworthy. They reflect the strong recovery of U.S. stocks from last year’s coronavirus downturn to the present day.) </w:t>
      </w:r>
    </w:p>
    <w:p w14:paraId="418A95F6" w14:textId="77777777" w:rsidR="00A931D3" w:rsidRPr="00ED6E85" w:rsidRDefault="00A931D3" w:rsidP="0050651D">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685"/>
        <w:gridCol w:w="1080"/>
        <w:gridCol w:w="990"/>
        <w:gridCol w:w="990"/>
        <w:gridCol w:w="900"/>
        <w:gridCol w:w="810"/>
        <w:gridCol w:w="1080"/>
      </w:tblGrid>
      <w:tr w:rsidR="00A931D3" w:rsidRPr="00ED6E85" w14:paraId="7DBC10F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3DD8A086"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color w:val="000000" w:themeColor="text1"/>
                <w:sz w:val="22"/>
                <w:szCs w:val="22"/>
              </w:rPr>
              <w:br w:type="page"/>
            </w:r>
            <w:r w:rsidRPr="00ED6E85">
              <w:rPr>
                <w:rFonts w:ascii="Arial" w:hAnsi="Arial" w:cs="Arial"/>
                <w:b/>
                <w:bCs/>
                <w:color w:val="000000" w:themeColor="text1"/>
                <w:sz w:val="22"/>
                <w:szCs w:val="22"/>
              </w:rPr>
              <w:t xml:space="preserve">Data as of </w:t>
            </w:r>
            <w:r w:rsidR="00B55724" w:rsidRPr="00ED6E85">
              <w:rPr>
                <w:rFonts w:ascii="Arial" w:hAnsi="Arial" w:cs="Arial"/>
                <w:b/>
                <w:bCs/>
                <w:color w:val="000000" w:themeColor="text1"/>
                <w:sz w:val="22"/>
                <w:szCs w:val="22"/>
              </w:rPr>
              <w:t>6</w:t>
            </w:r>
            <w:r w:rsidRPr="00ED6E85">
              <w:rPr>
                <w:rFonts w:ascii="Arial" w:hAnsi="Arial" w:cs="Arial"/>
                <w:b/>
                <w:bCs/>
                <w:color w:val="000000" w:themeColor="text1"/>
                <w:sz w:val="22"/>
                <w:szCs w:val="22"/>
              </w:rPr>
              <w:t>/</w:t>
            </w:r>
            <w:r w:rsidR="00503B1E" w:rsidRPr="00ED6E85">
              <w:rPr>
                <w:rFonts w:ascii="Arial" w:hAnsi="Arial" w:cs="Arial"/>
                <w:b/>
                <w:bCs/>
                <w:color w:val="000000" w:themeColor="text1"/>
                <w:sz w:val="22"/>
                <w:szCs w:val="22"/>
              </w:rPr>
              <w:t>25</w:t>
            </w:r>
            <w:r w:rsidRPr="00ED6E85">
              <w:rPr>
                <w:rFonts w:ascii="Arial" w:hAnsi="Arial" w:cs="Arial"/>
                <w:b/>
                <w:bCs/>
                <w:color w:val="000000" w:themeColor="text1"/>
                <w:sz w:val="22"/>
                <w:szCs w:val="22"/>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3-Year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ED6E85" w:rsidRDefault="00A931D3" w:rsidP="0050651D">
            <w:pPr>
              <w:tabs>
                <w:tab w:val="left" w:pos="8550"/>
              </w:tabs>
              <w:jc w:val="center"/>
              <w:rPr>
                <w:rFonts w:ascii="Arial" w:hAnsi="Arial" w:cs="Arial"/>
                <w:b/>
                <w:bCs/>
                <w:color w:val="000000" w:themeColor="text1"/>
                <w:sz w:val="22"/>
                <w:szCs w:val="22"/>
              </w:rPr>
            </w:pPr>
            <w:r w:rsidRPr="00ED6E85">
              <w:rPr>
                <w:rFonts w:ascii="Arial" w:hAnsi="Arial" w:cs="Arial"/>
                <w:b/>
                <w:bCs/>
                <w:color w:val="000000" w:themeColor="text1"/>
                <w:sz w:val="22"/>
                <w:szCs w:val="22"/>
              </w:rPr>
              <w:t>10-Year</w:t>
            </w:r>
          </w:p>
        </w:tc>
      </w:tr>
      <w:tr w:rsidR="00A931D3" w:rsidRPr="00ED6E85" w14:paraId="0642BB78" w14:textId="77777777" w:rsidTr="000D3D5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ED6E85" w:rsidRDefault="00A931D3" w:rsidP="0050651D">
            <w:pPr>
              <w:tabs>
                <w:tab w:val="left" w:pos="8550"/>
              </w:tabs>
              <w:rPr>
                <w:rFonts w:ascii="Arial" w:hAnsi="Arial" w:cs="Arial"/>
                <w:sz w:val="22"/>
                <w:szCs w:val="22"/>
              </w:rPr>
            </w:pPr>
            <w:r w:rsidRPr="00ED6E85">
              <w:rPr>
                <w:rFonts w:ascii="Arial" w:hAnsi="Arial" w:cs="Arial"/>
                <w:sz w:val="22"/>
                <w:szCs w:val="22"/>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74DB4DF4"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2.7</w:t>
            </w:r>
            <w:r w:rsidR="00A931D3" w:rsidRPr="00ED6E85">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329E5A56"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4.0</w:t>
            </w:r>
            <w:r w:rsidRPr="00ED6E85">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1CB6B945"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3</w:t>
            </w:r>
            <w:r w:rsidR="00846FF6" w:rsidRPr="00ED6E85">
              <w:rPr>
                <w:rFonts w:ascii="Arial" w:hAnsi="Arial" w:cs="Arial"/>
                <w:sz w:val="22"/>
                <w:szCs w:val="22"/>
              </w:rPr>
              <w:t>8.8</w:t>
            </w:r>
            <w:r w:rsidR="00A931D3" w:rsidRPr="00ED6E85">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67543D13" w:rsidR="00A931D3" w:rsidRPr="00ED6E85" w:rsidRDefault="009C2FD5"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6.</w:t>
            </w:r>
            <w:r w:rsidR="00E01BDB" w:rsidRPr="00ED6E85">
              <w:rPr>
                <w:rFonts w:ascii="Arial" w:hAnsi="Arial" w:cs="Arial"/>
                <w:sz w:val="22"/>
                <w:szCs w:val="22"/>
              </w:rPr>
              <w:t>4</w:t>
            </w:r>
            <w:r w:rsidR="00A931D3" w:rsidRPr="00ED6E85">
              <w:rPr>
                <w:rFonts w:ascii="Arial" w:hAnsi="Arial" w:cs="Arial"/>
                <w:sz w:val="22"/>
                <w:szCs w:val="22"/>
              </w:rPr>
              <w:t>%</w:t>
            </w:r>
          </w:p>
        </w:tc>
        <w:tc>
          <w:tcPr>
            <w:tcW w:w="810" w:type="dxa"/>
            <w:tcBorders>
              <w:top w:val="nil"/>
              <w:left w:val="single" w:sz="4" w:space="0" w:color="auto"/>
              <w:bottom w:val="single" w:sz="4" w:space="0" w:color="auto"/>
              <w:right w:val="single" w:sz="4" w:space="0" w:color="auto"/>
            </w:tcBorders>
            <w:shd w:val="clear" w:color="auto" w:fill="auto"/>
            <w:vAlign w:val="center"/>
          </w:tcPr>
          <w:p w14:paraId="69242B3B" w14:textId="26FFBCEF"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6.4</w:t>
            </w:r>
            <w:r w:rsidRPr="00ED6E85">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65A0E9B0"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C22E01" w:rsidRPr="00ED6E85">
              <w:rPr>
                <w:rFonts w:ascii="Arial" w:hAnsi="Arial" w:cs="Arial"/>
                <w:sz w:val="22"/>
                <w:szCs w:val="22"/>
              </w:rPr>
              <w:t>2.</w:t>
            </w:r>
            <w:r w:rsidR="00846FF6" w:rsidRPr="00ED6E85">
              <w:rPr>
                <w:rFonts w:ascii="Arial" w:hAnsi="Arial" w:cs="Arial"/>
                <w:sz w:val="22"/>
                <w:szCs w:val="22"/>
              </w:rPr>
              <w:t>8</w:t>
            </w:r>
            <w:r w:rsidRPr="00ED6E85">
              <w:rPr>
                <w:rFonts w:ascii="Arial" w:hAnsi="Arial" w:cs="Arial"/>
                <w:sz w:val="22"/>
                <w:szCs w:val="22"/>
              </w:rPr>
              <w:t>%</w:t>
            </w:r>
          </w:p>
        </w:tc>
      </w:tr>
      <w:tr w:rsidR="00A931D3" w:rsidRPr="00ED6E85" w14:paraId="337723B3"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ED6E85" w:rsidRDefault="00A931D3" w:rsidP="0050651D">
            <w:pPr>
              <w:tabs>
                <w:tab w:val="left" w:pos="8550"/>
              </w:tabs>
              <w:rPr>
                <w:rFonts w:ascii="Arial" w:hAnsi="Arial" w:cs="Arial"/>
                <w:sz w:val="22"/>
                <w:szCs w:val="22"/>
              </w:rPr>
            </w:pPr>
            <w:r w:rsidRPr="00ED6E85">
              <w:rPr>
                <w:rFonts w:ascii="Arial" w:hAnsi="Arial" w:cs="Arial"/>
                <w:sz w:val="22"/>
                <w:szCs w:val="22"/>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488489BE"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1DE65586" w:rsidR="00A931D3" w:rsidRPr="00ED6E85" w:rsidRDefault="00846FF6" w:rsidP="0050651D">
            <w:pPr>
              <w:tabs>
                <w:tab w:val="left" w:pos="263"/>
                <w:tab w:val="center" w:pos="372"/>
                <w:tab w:val="left" w:pos="8550"/>
              </w:tabs>
              <w:jc w:val="center"/>
              <w:rPr>
                <w:rFonts w:ascii="Arial" w:hAnsi="Arial" w:cs="Arial"/>
                <w:sz w:val="22"/>
                <w:szCs w:val="22"/>
              </w:rPr>
            </w:pPr>
            <w:r w:rsidRPr="00ED6E85">
              <w:rPr>
                <w:rFonts w:ascii="Arial" w:hAnsi="Arial" w:cs="Arial"/>
                <w:sz w:val="22"/>
                <w:szCs w:val="22"/>
              </w:rPr>
              <w:t>9.3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3B8AC2EA" w:rsidR="00A931D3" w:rsidRPr="00ED6E85" w:rsidRDefault="009C2FD5" w:rsidP="0050651D">
            <w:pPr>
              <w:tabs>
                <w:tab w:val="left" w:pos="8550"/>
              </w:tabs>
              <w:jc w:val="center"/>
              <w:rPr>
                <w:rFonts w:ascii="Arial" w:hAnsi="Arial" w:cs="Arial"/>
                <w:sz w:val="22"/>
                <w:szCs w:val="22"/>
              </w:rPr>
            </w:pPr>
            <w:r w:rsidRPr="00ED6E85">
              <w:rPr>
                <w:rFonts w:ascii="Arial" w:hAnsi="Arial" w:cs="Arial"/>
                <w:sz w:val="22"/>
                <w:szCs w:val="22"/>
              </w:rPr>
              <w:t>3</w:t>
            </w:r>
            <w:r w:rsidR="00846FF6" w:rsidRPr="00ED6E85">
              <w:rPr>
                <w:rFonts w:ascii="Arial" w:hAnsi="Arial" w:cs="Arial"/>
                <w:sz w:val="22"/>
                <w:szCs w:val="22"/>
              </w:rPr>
              <w:t>5.1</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03F6D836"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7.</w:t>
            </w:r>
            <w:r w:rsidR="009C2FD5" w:rsidRPr="00ED6E85">
              <w:rPr>
                <w:rFonts w:ascii="Arial" w:hAnsi="Arial" w:cs="Arial"/>
                <w:sz w:val="22"/>
                <w:szCs w:val="22"/>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059ED84B"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590BE2F8" w:rsidR="00A931D3" w:rsidRPr="00ED6E85" w:rsidRDefault="00C22E01" w:rsidP="0050651D">
            <w:pPr>
              <w:tabs>
                <w:tab w:val="left" w:pos="8550"/>
              </w:tabs>
              <w:jc w:val="center"/>
              <w:rPr>
                <w:rFonts w:ascii="Arial" w:hAnsi="Arial" w:cs="Arial"/>
                <w:sz w:val="22"/>
                <w:szCs w:val="22"/>
              </w:rPr>
            </w:pPr>
            <w:r w:rsidRPr="00ED6E85">
              <w:rPr>
                <w:rFonts w:ascii="Arial" w:hAnsi="Arial" w:cs="Arial"/>
                <w:sz w:val="22"/>
                <w:szCs w:val="22"/>
              </w:rPr>
              <w:t>3.</w:t>
            </w:r>
            <w:r w:rsidR="00846FF6" w:rsidRPr="00ED6E85">
              <w:rPr>
                <w:rFonts w:ascii="Arial" w:hAnsi="Arial" w:cs="Arial"/>
                <w:sz w:val="22"/>
                <w:szCs w:val="22"/>
              </w:rPr>
              <w:t>8</w:t>
            </w:r>
          </w:p>
        </w:tc>
      </w:tr>
      <w:tr w:rsidR="00A931D3" w:rsidRPr="00ED6E85" w14:paraId="2C81EB5A"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ED6E85" w:rsidRDefault="00A931D3" w:rsidP="0050651D">
            <w:pPr>
              <w:tabs>
                <w:tab w:val="left" w:pos="8550"/>
              </w:tabs>
              <w:rPr>
                <w:rFonts w:ascii="Arial" w:hAnsi="Arial" w:cs="Arial"/>
                <w:sz w:val="22"/>
                <w:szCs w:val="22"/>
              </w:rPr>
            </w:pPr>
            <w:r w:rsidRPr="00ED6E85">
              <w:rPr>
                <w:rFonts w:ascii="Arial" w:hAnsi="Arial" w:cs="Arial"/>
                <w:sz w:val="22"/>
                <w:szCs w:val="22"/>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922747"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DE1BDE" w:rsidRPr="00ED6E85">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ED6E85" w:rsidRDefault="00A931D3" w:rsidP="0050651D">
            <w:pPr>
              <w:tabs>
                <w:tab w:val="left" w:pos="263"/>
                <w:tab w:val="center" w:pos="372"/>
                <w:tab w:val="left" w:pos="8550"/>
              </w:tabs>
              <w:jc w:val="center"/>
              <w:rPr>
                <w:rFonts w:ascii="Arial" w:hAnsi="Arial" w:cs="Arial"/>
                <w:sz w:val="22"/>
                <w:szCs w:val="22"/>
              </w:rPr>
            </w:pPr>
            <w:r w:rsidRPr="00ED6E85">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554AAC9C"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0.</w:t>
            </w:r>
            <w:r w:rsidR="00DE1BDE" w:rsidRPr="00ED6E85">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1C77AAE9"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3B715827"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3398D7C"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2.9</w:t>
            </w:r>
          </w:p>
        </w:tc>
      </w:tr>
      <w:tr w:rsidR="00A931D3" w:rsidRPr="00ED6E85" w14:paraId="23F5E3B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2467CD93" w:rsidR="00A931D3" w:rsidRPr="00ED6E85" w:rsidRDefault="00A931D3" w:rsidP="0050651D">
            <w:pPr>
              <w:tabs>
                <w:tab w:val="left" w:pos="8550"/>
              </w:tabs>
              <w:rPr>
                <w:rFonts w:ascii="Arial" w:hAnsi="Arial" w:cs="Arial"/>
                <w:sz w:val="22"/>
                <w:szCs w:val="22"/>
              </w:rPr>
            </w:pPr>
            <w:r w:rsidRPr="00ED6E85">
              <w:rPr>
                <w:rFonts w:ascii="Arial" w:hAnsi="Arial" w:cs="Arial"/>
                <w:sz w:val="22"/>
                <w:szCs w:val="22"/>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4DE387F2"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3C4308F7" w:rsidR="00A931D3" w:rsidRPr="00ED6E85" w:rsidRDefault="00DE1BDE" w:rsidP="0050651D">
            <w:pPr>
              <w:tabs>
                <w:tab w:val="left" w:pos="8550"/>
              </w:tabs>
              <w:jc w:val="center"/>
              <w:rPr>
                <w:rFonts w:ascii="Arial" w:hAnsi="Arial" w:cs="Arial"/>
                <w:sz w:val="22"/>
                <w:szCs w:val="22"/>
              </w:rPr>
            </w:pPr>
            <w:r w:rsidRPr="00ED6E85">
              <w:rPr>
                <w:rFonts w:ascii="Arial" w:hAnsi="Arial" w:cs="Arial"/>
                <w:sz w:val="22"/>
                <w:szCs w:val="22"/>
              </w:rPr>
              <w:t>-</w:t>
            </w:r>
            <w:r w:rsidR="00846FF6" w:rsidRPr="00ED6E85">
              <w:rPr>
                <w:rFonts w:ascii="Arial" w:hAnsi="Arial" w:cs="Arial"/>
                <w:sz w:val="22"/>
                <w:szCs w:val="22"/>
              </w:rPr>
              <w:t>5.4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56C6FE58"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4CAEB84C"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081A61C7"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6.</w:t>
            </w:r>
            <w:r w:rsidR="00846FF6" w:rsidRPr="00ED6E85">
              <w:rPr>
                <w:rFonts w:ascii="Arial" w:hAnsi="Arial" w:cs="Arial"/>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015432B9"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8</w:t>
            </w:r>
          </w:p>
        </w:tc>
      </w:tr>
      <w:tr w:rsidR="00A931D3" w:rsidRPr="00ED6E85" w14:paraId="01990946" w14:textId="77777777" w:rsidTr="000D3D5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ED6E85" w:rsidRDefault="00A931D3" w:rsidP="0050651D">
            <w:pPr>
              <w:tabs>
                <w:tab w:val="left" w:pos="8550"/>
              </w:tabs>
              <w:rPr>
                <w:rFonts w:ascii="Arial" w:hAnsi="Arial" w:cs="Arial"/>
                <w:sz w:val="22"/>
                <w:szCs w:val="22"/>
              </w:rPr>
            </w:pPr>
            <w:r w:rsidRPr="00ED6E85">
              <w:rPr>
                <w:rFonts w:ascii="Arial" w:hAnsi="Arial" w:cs="Arial"/>
                <w:sz w:val="22"/>
                <w:szCs w:val="22"/>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13D77BF9"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72B40872"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1</w:t>
            </w:r>
            <w:r w:rsidR="00846FF6" w:rsidRPr="00ED6E85">
              <w:rPr>
                <w:rFonts w:ascii="Arial" w:hAnsi="Arial" w:cs="Arial"/>
                <w:sz w:val="22"/>
                <w:szCs w:val="22"/>
              </w:rPr>
              <w:t>8.4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36C17033" w:rsidR="00A931D3" w:rsidRPr="00ED6E85" w:rsidRDefault="005E33CC" w:rsidP="0050651D">
            <w:pPr>
              <w:tabs>
                <w:tab w:val="left" w:pos="8550"/>
              </w:tabs>
              <w:jc w:val="center"/>
              <w:rPr>
                <w:rFonts w:ascii="Arial" w:hAnsi="Arial" w:cs="Arial"/>
                <w:sz w:val="22"/>
                <w:szCs w:val="22"/>
              </w:rPr>
            </w:pPr>
            <w:r w:rsidRPr="00ED6E85">
              <w:rPr>
                <w:rFonts w:ascii="Arial" w:hAnsi="Arial" w:cs="Arial"/>
                <w:sz w:val="22"/>
                <w:szCs w:val="22"/>
              </w:rPr>
              <w:t>4</w:t>
            </w:r>
            <w:r w:rsidR="00846FF6" w:rsidRPr="00ED6E85">
              <w:rPr>
                <w:rFonts w:ascii="Arial" w:hAnsi="Arial" w:cs="Arial"/>
                <w:sz w:val="22"/>
                <w:szCs w:val="22"/>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30751ECB" w:rsidR="00A931D3" w:rsidRPr="00ED6E85" w:rsidRDefault="00E01BDB" w:rsidP="0050651D">
            <w:pPr>
              <w:tabs>
                <w:tab w:val="left" w:pos="8550"/>
              </w:tabs>
              <w:jc w:val="center"/>
              <w:rPr>
                <w:rFonts w:ascii="Arial" w:hAnsi="Arial" w:cs="Arial"/>
                <w:sz w:val="22"/>
                <w:szCs w:val="22"/>
              </w:rPr>
            </w:pPr>
            <w:r w:rsidRPr="00ED6E85">
              <w:rPr>
                <w:rFonts w:ascii="Arial" w:hAnsi="Arial" w:cs="Arial"/>
                <w:sz w:val="22"/>
                <w:szCs w:val="22"/>
              </w:rPr>
              <w:t>2</w:t>
            </w:r>
            <w:r w:rsidR="00846FF6" w:rsidRPr="00ED6E85">
              <w:rPr>
                <w:rFonts w:ascii="Arial" w:hAnsi="Arial" w:cs="Arial"/>
                <w:sz w:val="22"/>
                <w:szCs w:val="22"/>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48488CCA" w:rsidR="00A931D3" w:rsidRPr="00ED6E85" w:rsidRDefault="00846FF6" w:rsidP="0050651D">
            <w:pPr>
              <w:tabs>
                <w:tab w:val="left" w:pos="8550"/>
              </w:tabs>
              <w:jc w:val="center"/>
              <w:rPr>
                <w:rFonts w:ascii="Arial" w:hAnsi="Arial" w:cs="Arial"/>
                <w:sz w:val="22"/>
                <w:szCs w:val="22"/>
              </w:rPr>
            </w:pPr>
            <w:r w:rsidRPr="00ED6E85">
              <w:rPr>
                <w:rFonts w:ascii="Arial" w:hAnsi="Arial" w:cs="Arial"/>
                <w:sz w:val="22"/>
                <w:szCs w:val="22"/>
              </w:rPr>
              <w:t>1</w:t>
            </w:r>
            <w:r w:rsidR="0033217F" w:rsidRPr="00ED6E85">
              <w:rPr>
                <w:rFonts w:ascii="Arial" w:hAnsi="Arial" w:cs="Arial"/>
                <w:sz w:val="22"/>
                <w:szCs w:val="22"/>
              </w:rPr>
              <w:t>.</w:t>
            </w:r>
            <w:r w:rsidR="00DE1BDE" w:rsidRPr="00ED6E85">
              <w:rPr>
                <w:rFonts w:ascii="Arial" w:hAnsi="Arial" w:cs="Arial"/>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2432D0D0" w:rsidR="00A931D3" w:rsidRPr="00ED6E85" w:rsidRDefault="00A931D3" w:rsidP="0050651D">
            <w:pPr>
              <w:tabs>
                <w:tab w:val="left" w:pos="8550"/>
              </w:tabs>
              <w:jc w:val="center"/>
              <w:rPr>
                <w:rFonts w:ascii="Arial" w:hAnsi="Arial" w:cs="Arial"/>
                <w:sz w:val="22"/>
                <w:szCs w:val="22"/>
              </w:rPr>
            </w:pPr>
            <w:r w:rsidRPr="00ED6E85">
              <w:rPr>
                <w:rFonts w:ascii="Arial" w:hAnsi="Arial" w:cs="Arial"/>
                <w:sz w:val="22"/>
                <w:szCs w:val="22"/>
              </w:rPr>
              <w:t>-</w:t>
            </w:r>
            <w:r w:rsidR="00C22E01" w:rsidRPr="00ED6E85">
              <w:rPr>
                <w:rFonts w:ascii="Arial" w:hAnsi="Arial" w:cs="Arial"/>
                <w:sz w:val="22"/>
                <w:szCs w:val="22"/>
              </w:rPr>
              <w:t>5</w:t>
            </w:r>
            <w:r w:rsidRPr="00ED6E85">
              <w:rPr>
                <w:rFonts w:ascii="Arial" w:hAnsi="Arial" w:cs="Arial"/>
                <w:sz w:val="22"/>
                <w:szCs w:val="22"/>
              </w:rPr>
              <w:t>.</w:t>
            </w:r>
            <w:r w:rsidR="00846FF6" w:rsidRPr="00ED6E85">
              <w:rPr>
                <w:rFonts w:ascii="Arial" w:hAnsi="Arial" w:cs="Arial"/>
                <w:sz w:val="22"/>
                <w:szCs w:val="22"/>
              </w:rPr>
              <w:t>0</w:t>
            </w:r>
          </w:p>
        </w:tc>
      </w:tr>
    </w:tbl>
    <w:p w14:paraId="67056A11" w14:textId="77777777" w:rsidR="00A931D3" w:rsidRPr="00ED6E85" w:rsidRDefault="00A931D3" w:rsidP="0050651D">
      <w:pPr>
        <w:rPr>
          <w:rFonts w:ascii="Arial" w:hAnsi="Arial" w:cs="Arial"/>
          <w:sz w:val="16"/>
        </w:rPr>
      </w:pPr>
      <w:r w:rsidRPr="00ED6E85">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1808CB31" w:rsidR="00A931D3" w:rsidRPr="00ED6E85" w:rsidRDefault="00A931D3" w:rsidP="0050651D">
      <w:pPr>
        <w:rPr>
          <w:rFonts w:ascii="Arial" w:hAnsi="Arial" w:cs="Arial"/>
          <w:sz w:val="16"/>
        </w:rPr>
      </w:pPr>
      <w:r w:rsidRPr="00ED6E85">
        <w:rPr>
          <w:rFonts w:ascii="Arial" w:hAnsi="Arial" w:cs="Arial"/>
          <w:sz w:val="16"/>
        </w:rPr>
        <w:t>Sources: Yahoo! Finance; MarketWatch; </w:t>
      </w:r>
      <w:r w:rsidRPr="00E11BB5">
        <w:rPr>
          <w:rFonts w:ascii="Arial" w:hAnsi="Arial" w:cs="Arial"/>
          <w:sz w:val="16"/>
        </w:rPr>
        <w:t>djindexes.com</w:t>
      </w:r>
      <w:r w:rsidRPr="00ED6E85">
        <w:rPr>
          <w:rFonts w:ascii="Arial" w:hAnsi="Arial" w:cs="Arial"/>
          <w:sz w:val="16"/>
        </w:rPr>
        <w:t>; Federal Reserve Bank of St. Louis; London Bullion Market Association.</w:t>
      </w:r>
    </w:p>
    <w:p w14:paraId="31CD18C5" w14:textId="77777777" w:rsidR="00A931D3" w:rsidRPr="00ED6E85" w:rsidRDefault="00A931D3" w:rsidP="0050651D">
      <w:pPr>
        <w:rPr>
          <w:rFonts w:ascii="Arial" w:hAnsi="Arial" w:cs="Arial"/>
          <w:sz w:val="16"/>
        </w:rPr>
      </w:pPr>
      <w:r w:rsidRPr="00ED6E85">
        <w:rPr>
          <w:rFonts w:ascii="Arial" w:hAnsi="Arial" w:cs="Arial"/>
          <w:sz w:val="16"/>
        </w:rPr>
        <w:t>Past performance is no guarantee of future results. Indices are unmanaged and cannot be invested into directly. N/A means not applicable.</w:t>
      </w:r>
    </w:p>
    <w:p w14:paraId="243C154F" w14:textId="4EAB3EFA" w:rsidR="00A931D3" w:rsidRPr="00ED6E85" w:rsidRDefault="00A931D3" w:rsidP="0050651D">
      <w:pPr>
        <w:rPr>
          <w:rFonts w:ascii="Arial" w:hAnsi="Arial" w:cs="Arial"/>
          <w:b/>
          <w:bCs/>
          <w:color w:val="35DB3F"/>
          <w:sz w:val="28"/>
          <w:szCs w:val="28"/>
        </w:rPr>
      </w:pPr>
    </w:p>
    <w:p w14:paraId="32BDCC6E" w14:textId="15BD9161" w:rsidR="00F72CA1" w:rsidRPr="00ED6E85" w:rsidRDefault="00274A48" w:rsidP="004B475A">
      <w:pPr>
        <w:rPr>
          <w:rFonts w:ascii="Arial" w:hAnsi="Arial" w:cs="Arial"/>
          <w:bCs/>
          <w:color w:val="000000" w:themeColor="text1"/>
        </w:rPr>
      </w:pPr>
      <w:r w:rsidRPr="00ED6E85">
        <w:rPr>
          <w:rFonts w:ascii="Arial" w:hAnsi="Arial" w:cs="Arial"/>
          <w:b/>
          <w:caps/>
          <w:color w:val="0D304A"/>
          <w:sz w:val="28"/>
        </w:rPr>
        <w:lastRenderedPageBreak/>
        <w:t xml:space="preserve">it’s hard to get excited about a ‘c-’. </w:t>
      </w:r>
      <w:r w:rsidR="00F925C0" w:rsidRPr="00ED6E85">
        <w:rPr>
          <w:rFonts w:ascii="Arial" w:hAnsi="Arial" w:cs="Arial"/>
          <w:bCs/>
          <w:color w:val="000000" w:themeColor="text1"/>
        </w:rPr>
        <w:t>Since 1998, t</w:t>
      </w:r>
      <w:r w:rsidR="004B475A" w:rsidRPr="00ED6E85">
        <w:rPr>
          <w:rFonts w:ascii="Arial" w:hAnsi="Arial" w:cs="Arial"/>
          <w:bCs/>
          <w:color w:val="000000" w:themeColor="text1"/>
        </w:rPr>
        <w:t xml:space="preserve">he </w:t>
      </w:r>
      <w:r w:rsidR="004B475A" w:rsidRPr="00E11BB5">
        <w:rPr>
          <w:rFonts w:ascii="Arial" w:hAnsi="Arial" w:cs="Arial"/>
          <w:bCs/>
          <w:color w:val="000000" w:themeColor="text1"/>
        </w:rPr>
        <w:t>American Society of Civil Engineers</w:t>
      </w:r>
      <w:r w:rsidR="00197FA6" w:rsidRPr="00E11BB5">
        <w:rPr>
          <w:rFonts w:ascii="Arial" w:hAnsi="Arial" w:cs="Arial"/>
          <w:bCs/>
          <w:color w:val="000000" w:themeColor="text1"/>
        </w:rPr>
        <w:t xml:space="preserve"> (ASCE)</w:t>
      </w:r>
      <w:r w:rsidR="004B475A" w:rsidRPr="00ED6E85">
        <w:rPr>
          <w:rFonts w:ascii="Arial" w:hAnsi="Arial" w:cs="Arial"/>
          <w:bCs/>
          <w:color w:val="000000" w:themeColor="text1"/>
        </w:rPr>
        <w:t xml:space="preserve"> has been grading infrastructure in the United States.</w:t>
      </w:r>
      <w:r w:rsidR="00F925C0" w:rsidRPr="00ED6E85">
        <w:rPr>
          <w:rFonts w:ascii="Arial" w:hAnsi="Arial" w:cs="Arial"/>
          <w:bCs/>
          <w:color w:val="000000" w:themeColor="text1"/>
        </w:rPr>
        <w:t xml:space="preserve"> </w:t>
      </w:r>
      <w:r w:rsidR="00AE3E50" w:rsidRPr="00ED6E85">
        <w:rPr>
          <w:rFonts w:ascii="Arial" w:hAnsi="Arial" w:cs="Arial"/>
          <w:bCs/>
          <w:color w:val="000000" w:themeColor="text1"/>
        </w:rPr>
        <w:t>‘</w:t>
      </w:r>
      <w:r w:rsidR="00F73690" w:rsidRPr="00ED6E85">
        <w:rPr>
          <w:rFonts w:ascii="Arial" w:hAnsi="Arial" w:cs="Arial"/>
          <w:bCs/>
          <w:color w:val="000000" w:themeColor="text1"/>
        </w:rPr>
        <w:t>A</w:t>
      </w:r>
      <w:r w:rsidR="00AE3E50" w:rsidRPr="00ED6E85">
        <w:rPr>
          <w:rFonts w:ascii="Arial" w:hAnsi="Arial" w:cs="Arial"/>
          <w:bCs/>
          <w:color w:val="000000" w:themeColor="text1"/>
        </w:rPr>
        <w:t>’</w:t>
      </w:r>
      <w:r w:rsidR="00F73690" w:rsidRPr="00ED6E85">
        <w:rPr>
          <w:rFonts w:ascii="Arial" w:hAnsi="Arial" w:cs="Arial"/>
          <w:bCs/>
          <w:color w:val="000000" w:themeColor="text1"/>
        </w:rPr>
        <w:t xml:space="preserve"> is exceptional</w:t>
      </w:r>
      <w:r w:rsidR="00C94BC4" w:rsidRPr="00ED6E85">
        <w:rPr>
          <w:rFonts w:ascii="Arial" w:hAnsi="Arial" w:cs="Arial"/>
          <w:bCs/>
          <w:color w:val="000000" w:themeColor="text1"/>
        </w:rPr>
        <w:t>, fit for the future</w:t>
      </w:r>
      <w:r w:rsidR="00F73690" w:rsidRPr="00ED6E85">
        <w:rPr>
          <w:rFonts w:ascii="Arial" w:hAnsi="Arial" w:cs="Arial"/>
          <w:bCs/>
          <w:color w:val="000000" w:themeColor="text1"/>
        </w:rPr>
        <w:t xml:space="preserve">. </w:t>
      </w:r>
      <w:r w:rsidR="00AE3E50" w:rsidRPr="00ED6E85">
        <w:rPr>
          <w:rFonts w:ascii="Arial" w:hAnsi="Arial" w:cs="Arial"/>
          <w:bCs/>
          <w:color w:val="000000" w:themeColor="text1"/>
        </w:rPr>
        <w:t>‘</w:t>
      </w:r>
      <w:r w:rsidR="00F73690" w:rsidRPr="00ED6E85">
        <w:rPr>
          <w:rFonts w:ascii="Arial" w:hAnsi="Arial" w:cs="Arial"/>
          <w:bCs/>
          <w:color w:val="000000" w:themeColor="text1"/>
        </w:rPr>
        <w:t>B</w:t>
      </w:r>
      <w:r w:rsidR="00AE3E50" w:rsidRPr="00ED6E85">
        <w:rPr>
          <w:rFonts w:ascii="Arial" w:hAnsi="Arial" w:cs="Arial"/>
          <w:bCs/>
          <w:color w:val="000000" w:themeColor="text1"/>
        </w:rPr>
        <w:t>’</w:t>
      </w:r>
      <w:r w:rsidR="00F73690" w:rsidRPr="00ED6E85">
        <w:rPr>
          <w:rFonts w:ascii="Arial" w:hAnsi="Arial" w:cs="Arial"/>
          <w:bCs/>
          <w:color w:val="000000" w:themeColor="text1"/>
        </w:rPr>
        <w:t xml:space="preserve"> is good</w:t>
      </w:r>
      <w:r w:rsidR="00C94BC4" w:rsidRPr="00ED6E85">
        <w:rPr>
          <w:rFonts w:ascii="Arial" w:hAnsi="Arial" w:cs="Arial"/>
          <w:bCs/>
          <w:color w:val="000000" w:themeColor="text1"/>
        </w:rPr>
        <w:t>, adequate for now</w:t>
      </w:r>
      <w:r w:rsidR="00F73690" w:rsidRPr="00ED6E85">
        <w:rPr>
          <w:rFonts w:ascii="Arial" w:hAnsi="Arial" w:cs="Arial"/>
          <w:bCs/>
          <w:color w:val="000000" w:themeColor="text1"/>
        </w:rPr>
        <w:t xml:space="preserve">. </w:t>
      </w:r>
      <w:r w:rsidR="00AE3E50" w:rsidRPr="00ED6E85">
        <w:rPr>
          <w:rFonts w:ascii="Arial" w:hAnsi="Arial" w:cs="Arial"/>
          <w:bCs/>
          <w:color w:val="000000" w:themeColor="text1"/>
        </w:rPr>
        <w:t>‘</w:t>
      </w:r>
      <w:r w:rsidR="00F73690" w:rsidRPr="00ED6E85">
        <w:rPr>
          <w:rFonts w:ascii="Arial" w:hAnsi="Arial" w:cs="Arial"/>
          <w:bCs/>
          <w:color w:val="000000" w:themeColor="text1"/>
        </w:rPr>
        <w:t>C</w:t>
      </w:r>
      <w:r w:rsidR="00AE3E50" w:rsidRPr="00ED6E85">
        <w:rPr>
          <w:rFonts w:ascii="Arial" w:hAnsi="Arial" w:cs="Arial"/>
          <w:bCs/>
          <w:color w:val="000000" w:themeColor="text1"/>
        </w:rPr>
        <w:t>’</w:t>
      </w:r>
      <w:r w:rsidR="00F73690" w:rsidRPr="00ED6E85">
        <w:rPr>
          <w:rFonts w:ascii="Arial" w:hAnsi="Arial" w:cs="Arial"/>
          <w:bCs/>
          <w:color w:val="000000" w:themeColor="text1"/>
        </w:rPr>
        <w:t xml:space="preserve"> is mediocre</w:t>
      </w:r>
      <w:r w:rsidR="00C94BC4" w:rsidRPr="00ED6E85">
        <w:rPr>
          <w:rFonts w:ascii="Arial" w:hAnsi="Arial" w:cs="Arial"/>
          <w:bCs/>
          <w:color w:val="000000" w:themeColor="text1"/>
        </w:rPr>
        <w:t>,</w:t>
      </w:r>
      <w:r w:rsidR="00F73690" w:rsidRPr="00ED6E85">
        <w:rPr>
          <w:rFonts w:ascii="Arial" w:hAnsi="Arial" w:cs="Arial"/>
          <w:bCs/>
          <w:color w:val="000000" w:themeColor="text1"/>
        </w:rPr>
        <w:t xml:space="preserve"> requires attention. </w:t>
      </w:r>
      <w:r w:rsidR="00AE3E50" w:rsidRPr="00ED6E85">
        <w:rPr>
          <w:rFonts w:ascii="Arial" w:hAnsi="Arial" w:cs="Arial"/>
          <w:bCs/>
          <w:color w:val="000000" w:themeColor="text1"/>
        </w:rPr>
        <w:t>‘</w:t>
      </w:r>
      <w:r w:rsidR="00F73690" w:rsidRPr="00ED6E85">
        <w:rPr>
          <w:rFonts w:ascii="Arial" w:hAnsi="Arial" w:cs="Arial"/>
          <w:bCs/>
          <w:color w:val="000000" w:themeColor="text1"/>
        </w:rPr>
        <w:t>D</w:t>
      </w:r>
      <w:r w:rsidR="00AE3E50" w:rsidRPr="00ED6E85">
        <w:rPr>
          <w:rFonts w:ascii="Arial" w:hAnsi="Arial" w:cs="Arial"/>
          <w:bCs/>
          <w:color w:val="000000" w:themeColor="text1"/>
        </w:rPr>
        <w:t>’</w:t>
      </w:r>
      <w:r w:rsidR="00F73690" w:rsidRPr="00ED6E85">
        <w:rPr>
          <w:rFonts w:ascii="Arial" w:hAnsi="Arial" w:cs="Arial"/>
          <w:bCs/>
          <w:color w:val="000000" w:themeColor="text1"/>
        </w:rPr>
        <w:t xml:space="preserve"> is poor</w:t>
      </w:r>
      <w:r w:rsidR="00C94BC4" w:rsidRPr="00ED6E85">
        <w:rPr>
          <w:rFonts w:ascii="Arial" w:hAnsi="Arial" w:cs="Arial"/>
          <w:bCs/>
          <w:color w:val="000000" w:themeColor="text1"/>
        </w:rPr>
        <w:t>,</w:t>
      </w:r>
      <w:r w:rsidR="00F73690" w:rsidRPr="00ED6E85">
        <w:rPr>
          <w:rFonts w:ascii="Arial" w:hAnsi="Arial" w:cs="Arial"/>
          <w:bCs/>
          <w:color w:val="000000" w:themeColor="text1"/>
        </w:rPr>
        <w:t xml:space="preserve"> at risk. </w:t>
      </w:r>
      <w:r w:rsidR="00AE3E50" w:rsidRPr="00ED6E85">
        <w:rPr>
          <w:rFonts w:ascii="Arial" w:hAnsi="Arial" w:cs="Arial"/>
          <w:bCs/>
          <w:color w:val="000000" w:themeColor="text1"/>
        </w:rPr>
        <w:t>‘</w:t>
      </w:r>
      <w:r w:rsidR="00F73690" w:rsidRPr="00ED6E85">
        <w:rPr>
          <w:rFonts w:ascii="Arial" w:hAnsi="Arial" w:cs="Arial"/>
          <w:bCs/>
          <w:color w:val="000000" w:themeColor="text1"/>
        </w:rPr>
        <w:t>F</w:t>
      </w:r>
      <w:r w:rsidR="00AE3E50" w:rsidRPr="00ED6E85">
        <w:rPr>
          <w:rFonts w:ascii="Arial" w:hAnsi="Arial" w:cs="Arial"/>
          <w:bCs/>
          <w:color w:val="000000" w:themeColor="text1"/>
        </w:rPr>
        <w:t>’</w:t>
      </w:r>
      <w:r w:rsidR="00F73690" w:rsidRPr="00ED6E85">
        <w:rPr>
          <w:rFonts w:ascii="Arial" w:hAnsi="Arial" w:cs="Arial"/>
          <w:bCs/>
          <w:color w:val="000000" w:themeColor="text1"/>
        </w:rPr>
        <w:t xml:space="preserve"> is failing</w:t>
      </w:r>
      <w:r w:rsidR="00C94BC4" w:rsidRPr="00ED6E85">
        <w:rPr>
          <w:rFonts w:ascii="Arial" w:hAnsi="Arial" w:cs="Arial"/>
          <w:bCs/>
          <w:color w:val="000000" w:themeColor="text1"/>
        </w:rPr>
        <w:t>, unfit for purpose</w:t>
      </w:r>
      <w:r w:rsidR="00F73690" w:rsidRPr="00ED6E85">
        <w:rPr>
          <w:rFonts w:ascii="Arial" w:hAnsi="Arial" w:cs="Arial"/>
          <w:bCs/>
          <w:color w:val="000000" w:themeColor="text1"/>
        </w:rPr>
        <w:t>.</w:t>
      </w:r>
    </w:p>
    <w:p w14:paraId="78ED6455" w14:textId="77777777" w:rsidR="00F72CA1" w:rsidRPr="00ED6E85" w:rsidRDefault="00F72CA1" w:rsidP="004B475A">
      <w:pPr>
        <w:rPr>
          <w:rFonts w:ascii="Arial" w:hAnsi="Arial" w:cs="Arial"/>
          <w:bCs/>
          <w:color w:val="000000" w:themeColor="text1"/>
        </w:rPr>
      </w:pPr>
    </w:p>
    <w:p w14:paraId="39939A9A" w14:textId="247EFEEC" w:rsidR="00F4723B" w:rsidRPr="00E11BB5" w:rsidRDefault="00F73690" w:rsidP="004B475A">
      <w:pPr>
        <w:rPr>
          <w:rFonts w:ascii="Arial" w:hAnsi="Arial" w:cs="Arial"/>
          <w:bCs/>
          <w:color w:val="000000" w:themeColor="text1"/>
          <w:vertAlign w:val="superscript"/>
        </w:rPr>
      </w:pPr>
      <w:r w:rsidRPr="00ED6E85">
        <w:rPr>
          <w:rFonts w:ascii="Arial" w:hAnsi="Arial" w:cs="Arial"/>
          <w:bCs/>
          <w:color w:val="000000" w:themeColor="text1"/>
        </w:rPr>
        <w:t>The</w:t>
      </w:r>
      <w:r w:rsidR="00F925C0" w:rsidRPr="00ED6E85">
        <w:rPr>
          <w:rFonts w:ascii="Arial" w:hAnsi="Arial" w:cs="Arial"/>
          <w:bCs/>
          <w:i/>
          <w:iCs/>
          <w:color w:val="000000" w:themeColor="text1"/>
        </w:rPr>
        <w:t xml:space="preserve"> 2021 Report Card for America’s Infrastructure</w:t>
      </w:r>
      <w:r w:rsidR="00F925C0" w:rsidRPr="00ED6E85">
        <w:rPr>
          <w:rFonts w:ascii="Arial" w:hAnsi="Arial" w:cs="Arial"/>
          <w:bCs/>
          <w:color w:val="000000" w:themeColor="text1"/>
        </w:rPr>
        <w:t xml:space="preserve"> </w:t>
      </w:r>
      <w:r w:rsidR="0055466C" w:rsidRPr="00ED6E85">
        <w:rPr>
          <w:rFonts w:ascii="Arial" w:hAnsi="Arial" w:cs="Arial"/>
          <w:bCs/>
          <w:color w:val="000000" w:themeColor="text1"/>
        </w:rPr>
        <w:t>grade</w:t>
      </w:r>
      <w:r w:rsidR="00F72CA1" w:rsidRPr="00ED6E85">
        <w:rPr>
          <w:rFonts w:ascii="Arial" w:hAnsi="Arial" w:cs="Arial"/>
          <w:bCs/>
          <w:color w:val="000000" w:themeColor="text1"/>
        </w:rPr>
        <w:t>d</w:t>
      </w:r>
      <w:r w:rsidR="0055466C" w:rsidRPr="00ED6E85">
        <w:rPr>
          <w:rFonts w:ascii="Arial" w:hAnsi="Arial" w:cs="Arial"/>
          <w:bCs/>
          <w:color w:val="000000" w:themeColor="text1"/>
        </w:rPr>
        <w:t xml:space="preserve"> 17 categories</w:t>
      </w:r>
      <w:r w:rsidR="00F72CA1" w:rsidRPr="00ED6E85">
        <w:rPr>
          <w:rFonts w:ascii="Arial" w:hAnsi="Arial" w:cs="Arial"/>
          <w:bCs/>
          <w:color w:val="000000" w:themeColor="text1"/>
        </w:rPr>
        <w:t xml:space="preserve"> of infrastructure. The grades were poor </w:t>
      </w:r>
      <w:r w:rsidR="00D00C8C" w:rsidRPr="00ED6E85">
        <w:rPr>
          <w:rFonts w:ascii="Arial" w:hAnsi="Arial" w:cs="Arial"/>
          <w:bCs/>
          <w:color w:val="000000" w:themeColor="text1"/>
        </w:rPr>
        <w:t xml:space="preserve">enough </w:t>
      </w:r>
      <w:r w:rsidR="00F72CA1" w:rsidRPr="00ED6E85">
        <w:rPr>
          <w:rFonts w:ascii="Arial" w:hAnsi="Arial" w:cs="Arial"/>
          <w:bCs/>
          <w:color w:val="000000" w:themeColor="text1"/>
        </w:rPr>
        <w:t>that, if the report card had been handed to a student to take home, it might never have been delivered to the parents.</w:t>
      </w:r>
    </w:p>
    <w:p w14:paraId="0AE83965" w14:textId="09EE81E1" w:rsidR="0055466C" w:rsidRPr="00ED6E85" w:rsidRDefault="0055466C" w:rsidP="004B475A">
      <w:pPr>
        <w:rPr>
          <w:rFonts w:ascii="Arial" w:hAnsi="Arial" w:cs="Arial"/>
          <w:bCs/>
          <w:color w:val="000000" w:themeColor="text1"/>
        </w:rPr>
      </w:pPr>
    </w:p>
    <w:p w14:paraId="63905A2B"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Rail</w:t>
      </w:r>
      <w:r w:rsidRPr="00ED6E85">
        <w:rPr>
          <w:rFonts w:ascii="Arial" w:hAnsi="Arial" w:cs="Arial"/>
          <w:bCs/>
          <w:color w:val="000000" w:themeColor="text1"/>
        </w:rPr>
        <w:tab/>
        <w:t>B</w:t>
      </w:r>
    </w:p>
    <w:p w14:paraId="1BDCBDEF"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Ports</w:t>
      </w:r>
      <w:r w:rsidRPr="00ED6E85">
        <w:rPr>
          <w:rFonts w:ascii="Arial" w:hAnsi="Arial" w:cs="Arial"/>
          <w:bCs/>
          <w:color w:val="000000" w:themeColor="text1"/>
        </w:rPr>
        <w:tab/>
        <w:t>B-</w:t>
      </w:r>
    </w:p>
    <w:p w14:paraId="491EBB35" w14:textId="77777777" w:rsidR="00357BDD" w:rsidRPr="00ED6E85" w:rsidRDefault="00357BDD" w:rsidP="00357BDD">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Solid waste</w:t>
      </w:r>
      <w:r w:rsidRPr="00ED6E85">
        <w:rPr>
          <w:rFonts w:ascii="Arial" w:hAnsi="Arial" w:cs="Arial"/>
          <w:bCs/>
          <w:color w:val="000000" w:themeColor="text1"/>
        </w:rPr>
        <w:tab/>
        <w:t>C+</w:t>
      </w:r>
    </w:p>
    <w:p w14:paraId="2AC72086"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Bridges</w:t>
      </w:r>
      <w:r w:rsidRPr="00ED6E85">
        <w:rPr>
          <w:rFonts w:ascii="Arial" w:hAnsi="Arial" w:cs="Arial"/>
          <w:bCs/>
          <w:color w:val="000000" w:themeColor="text1"/>
        </w:rPr>
        <w:tab/>
        <w:t>C</w:t>
      </w:r>
    </w:p>
    <w:p w14:paraId="0C4DB2C7"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Drinking water</w:t>
      </w:r>
      <w:r w:rsidRPr="00ED6E85">
        <w:rPr>
          <w:rFonts w:ascii="Arial" w:hAnsi="Arial" w:cs="Arial"/>
          <w:bCs/>
          <w:color w:val="000000" w:themeColor="text1"/>
        </w:rPr>
        <w:tab/>
        <w:t>C-</w:t>
      </w:r>
    </w:p>
    <w:p w14:paraId="0A4C77B8"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 xml:space="preserve">Energy </w:t>
      </w:r>
      <w:r w:rsidRPr="00ED6E85">
        <w:rPr>
          <w:rFonts w:ascii="Arial" w:hAnsi="Arial" w:cs="Arial"/>
          <w:bCs/>
          <w:color w:val="000000" w:themeColor="text1"/>
        </w:rPr>
        <w:tab/>
        <w:t>C-</w:t>
      </w:r>
    </w:p>
    <w:p w14:paraId="1DF95255" w14:textId="014D4520"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Aviation</w:t>
      </w:r>
      <w:r w:rsidRPr="00ED6E85">
        <w:rPr>
          <w:rFonts w:ascii="Arial" w:hAnsi="Arial" w:cs="Arial"/>
          <w:bCs/>
          <w:color w:val="000000" w:themeColor="text1"/>
        </w:rPr>
        <w:tab/>
        <w:t>D+</w:t>
      </w:r>
    </w:p>
    <w:p w14:paraId="0C6198A5" w14:textId="5236A2F5"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Public Parks</w:t>
      </w:r>
      <w:r w:rsidRPr="00ED6E85">
        <w:rPr>
          <w:rFonts w:ascii="Arial" w:hAnsi="Arial" w:cs="Arial"/>
          <w:bCs/>
          <w:color w:val="000000" w:themeColor="text1"/>
        </w:rPr>
        <w:tab/>
        <w:t>D+</w:t>
      </w:r>
    </w:p>
    <w:p w14:paraId="07558D05"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Schools</w:t>
      </w:r>
      <w:r w:rsidRPr="00ED6E85">
        <w:rPr>
          <w:rFonts w:ascii="Arial" w:hAnsi="Arial" w:cs="Arial"/>
          <w:bCs/>
          <w:color w:val="000000" w:themeColor="text1"/>
        </w:rPr>
        <w:tab/>
        <w:t>D+</w:t>
      </w:r>
    </w:p>
    <w:p w14:paraId="5646B7CE" w14:textId="3F9B5793"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 xml:space="preserve">Inland </w:t>
      </w:r>
      <w:r w:rsidR="00E11BB5">
        <w:rPr>
          <w:rFonts w:ascii="Arial" w:hAnsi="Arial" w:cs="Arial"/>
          <w:bCs/>
          <w:color w:val="000000" w:themeColor="text1"/>
        </w:rPr>
        <w:t>W</w:t>
      </w:r>
      <w:r w:rsidRPr="00ED6E85">
        <w:rPr>
          <w:rFonts w:ascii="Arial" w:hAnsi="Arial" w:cs="Arial"/>
          <w:bCs/>
          <w:color w:val="000000" w:themeColor="text1"/>
        </w:rPr>
        <w:t>aterways</w:t>
      </w:r>
      <w:r w:rsidRPr="00ED6E85">
        <w:rPr>
          <w:rFonts w:ascii="Arial" w:hAnsi="Arial" w:cs="Arial"/>
          <w:bCs/>
          <w:color w:val="000000" w:themeColor="text1"/>
        </w:rPr>
        <w:tab/>
        <w:t>D+</w:t>
      </w:r>
    </w:p>
    <w:p w14:paraId="57616202"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Wastewater</w:t>
      </w:r>
      <w:r w:rsidRPr="00ED6E85">
        <w:rPr>
          <w:rFonts w:ascii="Arial" w:hAnsi="Arial" w:cs="Arial"/>
          <w:bCs/>
          <w:color w:val="000000" w:themeColor="text1"/>
        </w:rPr>
        <w:tab/>
        <w:t>D+</w:t>
      </w:r>
    </w:p>
    <w:p w14:paraId="0A8B5F5B"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Hazardous Waste</w:t>
      </w:r>
      <w:r w:rsidRPr="00ED6E85">
        <w:rPr>
          <w:rFonts w:ascii="Arial" w:hAnsi="Arial" w:cs="Arial"/>
          <w:bCs/>
          <w:color w:val="000000" w:themeColor="text1"/>
        </w:rPr>
        <w:tab/>
        <w:t>D+</w:t>
      </w:r>
    </w:p>
    <w:p w14:paraId="767ACC8A" w14:textId="4A830E8C"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Dams</w:t>
      </w:r>
      <w:r w:rsidRPr="00ED6E85">
        <w:rPr>
          <w:rFonts w:ascii="Arial" w:hAnsi="Arial" w:cs="Arial"/>
          <w:bCs/>
          <w:color w:val="000000" w:themeColor="text1"/>
        </w:rPr>
        <w:tab/>
        <w:t>D</w:t>
      </w:r>
    </w:p>
    <w:p w14:paraId="0645F572" w14:textId="20D1DB1E"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Roads</w:t>
      </w:r>
      <w:r w:rsidRPr="00ED6E85">
        <w:rPr>
          <w:rFonts w:ascii="Arial" w:hAnsi="Arial" w:cs="Arial"/>
          <w:bCs/>
          <w:color w:val="000000" w:themeColor="text1"/>
        </w:rPr>
        <w:tab/>
        <w:t>D</w:t>
      </w:r>
    </w:p>
    <w:p w14:paraId="7795D0D6" w14:textId="204BCEA3"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Stormwater</w:t>
      </w:r>
      <w:r w:rsidRPr="00ED6E85">
        <w:rPr>
          <w:rFonts w:ascii="Arial" w:hAnsi="Arial" w:cs="Arial"/>
          <w:bCs/>
          <w:color w:val="000000" w:themeColor="text1"/>
        </w:rPr>
        <w:tab/>
        <w:t>D</w:t>
      </w:r>
    </w:p>
    <w:p w14:paraId="0F007107" w14:textId="77777777" w:rsidR="00F72CA1" w:rsidRPr="00ED6E85" w:rsidRDefault="00F72CA1" w:rsidP="00F72CA1">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Levees</w:t>
      </w:r>
      <w:r w:rsidRPr="00ED6E85">
        <w:rPr>
          <w:rFonts w:ascii="Arial" w:hAnsi="Arial" w:cs="Arial"/>
          <w:bCs/>
          <w:color w:val="000000" w:themeColor="text1"/>
        </w:rPr>
        <w:tab/>
        <w:t>D</w:t>
      </w:r>
    </w:p>
    <w:p w14:paraId="255F7DE9" w14:textId="23B015E1" w:rsidR="0055466C" w:rsidRPr="00ED6E85" w:rsidRDefault="0055466C" w:rsidP="0055466C">
      <w:pPr>
        <w:pStyle w:val="ListParagraph"/>
        <w:numPr>
          <w:ilvl w:val="0"/>
          <w:numId w:val="18"/>
        </w:numPr>
        <w:tabs>
          <w:tab w:val="left" w:pos="3600"/>
        </w:tabs>
        <w:rPr>
          <w:rFonts w:ascii="Arial" w:hAnsi="Arial" w:cs="Arial"/>
          <w:bCs/>
          <w:color w:val="000000" w:themeColor="text1"/>
        </w:rPr>
      </w:pPr>
      <w:r w:rsidRPr="00ED6E85">
        <w:rPr>
          <w:rFonts w:ascii="Arial" w:hAnsi="Arial" w:cs="Arial"/>
          <w:bCs/>
          <w:color w:val="000000" w:themeColor="text1"/>
        </w:rPr>
        <w:t>Transit</w:t>
      </w:r>
      <w:r w:rsidRPr="00ED6E85">
        <w:rPr>
          <w:rFonts w:ascii="Arial" w:hAnsi="Arial" w:cs="Arial"/>
          <w:bCs/>
          <w:color w:val="000000" w:themeColor="text1"/>
        </w:rPr>
        <w:tab/>
        <w:t>D-</w:t>
      </w:r>
    </w:p>
    <w:p w14:paraId="6199E111" w14:textId="77777777" w:rsidR="00F4723B" w:rsidRPr="00ED6E85" w:rsidRDefault="00F4723B" w:rsidP="004B475A">
      <w:pPr>
        <w:rPr>
          <w:rFonts w:ascii="Arial" w:hAnsi="Arial" w:cs="Arial"/>
          <w:bCs/>
          <w:color w:val="000000" w:themeColor="text1"/>
        </w:rPr>
      </w:pPr>
    </w:p>
    <w:p w14:paraId="5A0119CA" w14:textId="37065E8E" w:rsidR="004B475A" w:rsidRPr="00ED6E85" w:rsidRDefault="00624506" w:rsidP="007E29B8">
      <w:pPr>
        <w:rPr>
          <w:rFonts w:ascii="Arial" w:hAnsi="Arial" w:cs="Arial"/>
          <w:bCs/>
          <w:color w:val="000000" w:themeColor="text1"/>
        </w:rPr>
      </w:pPr>
      <w:r w:rsidRPr="00ED6E85">
        <w:rPr>
          <w:rFonts w:ascii="Arial" w:hAnsi="Arial" w:cs="Arial"/>
          <w:bCs/>
          <w:color w:val="000000" w:themeColor="text1"/>
        </w:rPr>
        <w:t xml:space="preserve">The report’s authors stated, </w:t>
      </w:r>
      <w:r w:rsidR="00F4723B" w:rsidRPr="00ED6E85">
        <w:rPr>
          <w:rFonts w:ascii="Arial" w:hAnsi="Arial" w:cs="Arial"/>
          <w:bCs/>
          <w:color w:val="000000" w:themeColor="text1"/>
        </w:rPr>
        <w:t>“</w:t>
      </w:r>
      <w:r w:rsidR="007E29B8" w:rsidRPr="00ED6E85">
        <w:rPr>
          <w:rFonts w:ascii="Arial" w:hAnsi="Arial" w:cs="Arial"/>
          <w:bCs/>
          <w:color w:val="000000" w:themeColor="text1"/>
        </w:rPr>
        <w:t>If the United States is serious about achieving an infrastructure system fit for the future, some specific steps must be taken, beginning with increased, long-term, consistent investment. To close the nearly $2.59 trillion 10-year investment gap, meet future need, and restore our global competitive advantage, we must increase investment from all levels of government and the private sector from 2.5% to 3.5% of U.S. Gross Domestic Product (GDP) by 2025. This investment must be consistently and wisely allocated</w:t>
      </w:r>
      <w:r w:rsidRPr="00ED6E85">
        <w:rPr>
          <w:rFonts w:ascii="Arial" w:hAnsi="Arial" w:cs="Arial"/>
          <w:bCs/>
          <w:color w:val="000000" w:themeColor="text1"/>
        </w:rPr>
        <w:t>...</w:t>
      </w:r>
      <w:r w:rsidR="004B475A" w:rsidRPr="00ED6E85">
        <w:rPr>
          <w:rFonts w:ascii="Arial" w:hAnsi="Arial" w:cs="Arial"/>
          <w:bCs/>
          <w:color w:val="000000" w:themeColor="text1"/>
        </w:rPr>
        <w:t>”</w:t>
      </w:r>
    </w:p>
    <w:p w14:paraId="76F79754" w14:textId="137575B1" w:rsidR="00274A48" w:rsidRPr="00ED6E85" w:rsidRDefault="00274A48" w:rsidP="004B475A">
      <w:pPr>
        <w:rPr>
          <w:rFonts w:ascii="Arial" w:hAnsi="Arial" w:cs="Arial"/>
          <w:bCs/>
          <w:color w:val="000000" w:themeColor="text1"/>
        </w:rPr>
      </w:pPr>
    </w:p>
    <w:p w14:paraId="1C30CAAA" w14:textId="213CFA19" w:rsidR="00274A48" w:rsidRPr="00ED6E85" w:rsidRDefault="00274A48" w:rsidP="004B475A">
      <w:pPr>
        <w:rPr>
          <w:rFonts w:ascii="Arial" w:hAnsi="Arial" w:cs="Arial"/>
          <w:bCs/>
          <w:color w:val="000000" w:themeColor="text1"/>
        </w:rPr>
      </w:pPr>
      <w:r w:rsidRPr="00ED6E85">
        <w:rPr>
          <w:rFonts w:ascii="Arial" w:hAnsi="Arial" w:cs="Arial"/>
          <w:bCs/>
          <w:color w:val="000000" w:themeColor="text1"/>
        </w:rPr>
        <w:t>As many teachers have told many students over the years, a poor grade means there is room for improvement.</w:t>
      </w:r>
    </w:p>
    <w:p w14:paraId="07B3C922" w14:textId="77777777" w:rsidR="00C65017" w:rsidRPr="00ED6E85" w:rsidRDefault="00C65017" w:rsidP="0050651D">
      <w:pPr>
        <w:tabs>
          <w:tab w:val="left" w:pos="8550"/>
        </w:tabs>
        <w:rPr>
          <w:rFonts w:ascii="Arial" w:hAnsi="Arial" w:cs="Arial"/>
        </w:rPr>
      </w:pPr>
    </w:p>
    <w:p w14:paraId="27B363D4" w14:textId="47E21439" w:rsidR="00A931D3" w:rsidRPr="00ED6E85" w:rsidRDefault="00A931D3" w:rsidP="0050651D">
      <w:pPr>
        <w:tabs>
          <w:tab w:val="left" w:pos="-3150"/>
          <w:tab w:val="left" w:pos="8550"/>
        </w:tabs>
        <w:rPr>
          <w:rFonts w:ascii="Arial" w:hAnsi="Arial" w:cs="Arial"/>
          <w:b/>
          <w:color w:val="0D304A"/>
          <w:sz w:val="28"/>
          <w:szCs w:val="28"/>
        </w:rPr>
      </w:pPr>
      <w:r w:rsidRPr="00ED6E85">
        <w:rPr>
          <w:rFonts w:ascii="Arial" w:hAnsi="Arial" w:cs="Arial"/>
          <w:b/>
          <w:color w:val="0D304A"/>
          <w:sz w:val="28"/>
          <w:szCs w:val="28"/>
        </w:rPr>
        <w:t xml:space="preserve">Weekly Focus – Think </w:t>
      </w:r>
      <w:r w:rsidRPr="00ED6E85">
        <w:rPr>
          <w:rFonts w:ascii="Arial" w:hAnsi="Arial" w:cs="Arial"/>
          <w:b/>
          <w:bCs/>
          <w:color w:val="0D304A"/>
          <w:sz w:val="28"/>
          <w:szCs w:val="28"/>
        </w:rPr>
        <w:t>About</w:t>
      </w:r>
      <w:r w:rsidRPr="00ED6E85">
        <w:rPr>
          <w:rFonts w:ascii="Arial" w:hAnsi="Arial" w:cs="Arial"/>
          <w:b/>
          <w:color w:val="0D304A"/>
          <w:sz w:val="28"/>
          <w:szCs w:val="28"/>
        </w:rPr>
        <w:t xml:space="preserve"> It</w:t>
      </w:r>
      <w:r w:rsidRPr="00ED6E85">
        <w:rPr>
          <w:rFonts w:ascii="Arial" w:hAnsi="Arial" w:cs="Arial"/>
          <w:color w:val="0D304A"/>
          <w:sz w:val="28"/>
          <w:szCs w:val="28"/>
        </w:rPr>
        <w:t xml:space="preserve"> </w:t>
      </w:r>
    </w:p>
    <w:p w14:paraId="03CDD8D7" w14:textId="77777777" w:rsidR="00C265A5" w:rsidRPr="00ED6E85" w:rsidRDefault="00C265A5" w:rsidP="00C265A5">
      <w:pPr>
        <w:rPr>
          <w:rFonts w:ascii="Arial" w:hAnsi="Arial" w:cs="Arial"/>
          <w:color w:val="000000" w:themeColor="text1"/>
        </w:rPr>
      </w:pPr>
      <w:r w:rsidRPr="00ED6E85">
        <w:rPr>
          <w:rFonts w:ascii="Arial" w:hAnsi="Arial" w:cs="Arial"/>
          <w:color w:val="000000" w:themeColor="text1"/>
        </w:rPr>
        <w:t xml:space="preserve">“There is no greater burden than great potential.” </w:t>
      </w:r>
    </w:p>
    <w:p w14:paraId="12E382F1" w14:textId="0A66379E" w:rsidR="00A931D3" w:rsidRPr="00ED6E85" w:rsidRDefault="00E11BB5" w:rsidP="0050651D">
      <w:pPr>
        <w:jc w:val="right"/>
        <w:rPr>
          <w:rFonts w:ascii="Arial" w:hAnsi="Arial" w:cs="Arial"/>
          <w:i/>
          <w:iCs/>
          <w:color w:val="000000" w:themeColor="text1"/>
        </w:rPr>
      </w:pPr>
      <w:r>
        <w:rPr>
          <w:rFonts w:ascii="Arial" w:hAnsi="Arial" w:cs="Arial"/>
          <w:i/>
          <w:iCs/>
          <w:color w:val="000000" w:themeColor="text1"/>
        </w:rPr>
        <w:t xml:space="preserve"> –</w:t>
      </w:r>
      <w:r w:rsidR="00436E81" w:rsidRPr="00ED6E85">
        <w:rPr>
          <w:rFonts w:ascii="Arial" w:hAnsi="Arial" w:cs="Arial"/>
          <w:i/>
          <w:iCs/>
          <w:color w:val="000000" w:themeColor="text1"/>
        </w:rPr>
        <w:t>Charles M. Schultz, Cartoonist</w:t>
      </w:r>
      <w:r w:rsidR="00A931D3" w:rsidRPr="00ED6E85">
        <w:rPr>
          <w:rFonts w:ascii="Arial" w:hAnsi="Arial" w:cs="Arial"/>
          <w:i/>
          <w:iCs/>
          <w:color w:val="000000" w:themeColor="text1"/>
        </w:rPr>
        <w:t xml:space="preserve"> </w:t>
      </w:r>
    </w:p>
    <w:p w14:paraId="3D2307BB" w14:textId="77777777" w:rsidR="00A931D3" w:rsidRPr="00ED6E85" w:rsidRDefault="00A931D3" w:rsidP="0050651D">
      <w:pPr>
        <w:ind w:right="-36"/>
        <w:rPr>
          <w:rFonts w:ascii="Arial" w:hAnsi="Arial" w:cs="Arial"/>
          <w:color w:val="000000"/>
          <w:sz w:val="22"/>
          <w:szCs w:val="22"/>
        </w:rPr>
      </w:pPr>
    </w:p>
    <w:p w14:paraId="03EC62E9" w14:textId="77777777" w:rsidR="00A931D3" w:rsidRPr="00ED6E85" w:rsidRDefault="00A931D3" w:rsidP="0050651D">
      <w:pPr>
        <w:ind w:right="-36"/>
        <w:rPr>
          <w:rFonts w:ascii="Arial" w:hAnsi="Arial" w:cs="Arial"/>
          <w:color w:val="000000"/>
          <w:sz w:val="18"/>
          <w:szCs w:val="18"/>
        </w:rPr>
      </w:pPr>
      <w:r w:rsidRPr="00ED6E85">
        <w:rPr>
          <w:rFonts w:ascii="Arial" w:hAnsi="Arial" w:cs="Arial"/>
          <w:color w:val="000000"/>
          <w:sz w:val="22"/>
          <w:szCs w:val="22"/>
        </w:rPr>
        <w:t>Best regards,</w:t>
      </w:r>
    </w:p>
    <w:p w14:paraId="00029959" w14:textId="77777777" w:rsidR="001A6382" w:rsidRDefault="001A6382" w:rsidP="001A6382">
      <w:pPr>
        <w:widowControl w:val="0"/>
        <w:adjustRightInd w:val="0"/>
        <w:ind w:right="-36"/>
        <w:rPr>
          <w:rFonts w:ascii="Arial" w:hAnsi="Arial" w:cs="Arial"/>
          <w:sz w:val="16"/>
          <w:szCs w:val="16"/>
        </w:rPr>
      </w:pPr>
    </w:p>
    <w:p w14:paraId="7EC18E2C" w14:textId="46FC09A5" w:rsidR="001A6382" w:rsidRDefault="001A6382" w:rsidP="001A638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E0ACA05" w14:textId="77777777" w:rsidR="001A6382" w:rsidRDefault="001A6382" w:rsidP="001A6382">
      <w:pPr>
        <w:pStyle w:val="NormalWeb"/>
        <w:spacing w:before="0" w:beforeAutospacing="0" w:after="0" w:afterAutospacing="0"/>
        <w:rPr>
          <w:rFonts w:ascii="Arial" w:hAnsi="Arial" w:cs="Arial"/>
          <w:sz w:val="22"/>
          <w:szCs w:val="22"/>
        </w:rPr>
      </w:pPr>
    </w:p>
    <w:p w14:paraId="62781995" w14:textId="77777777" w:rsidR="001A6382" w:rsidRPr="001A6382" w:rsidRDefault="001A6382" w:rsidP="001A6382">
      <w:pPr>
        <w:rPr>
          <w:rFonts w:ascii="Arial" w:hAnsi="Arial" w:cs="Arial"/>
          <w:sz w:val="18"/>
          <w:szCs w:val="18"/>
        </w:rPr>
      </w:pPr>
      <w:r w:rsidRPr="001A6382">
        <w:rPr>
          <w:rFonts w:ascii="Arial" w:hAnsi="Arial" w:cs="Arial"/>
          <w:sz w:val="18"/>
          <w:szCs w:val="18"/>
        </w:rPr>
        <w:t>Securities offered through Commonwealth Financial, Member FINRA/SIPC.</w:t>
      </w:r>
    </w:p>
    <w:p w14:paraId="7A8CBA2C"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03CF2997"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3E9C81AB"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306F0">
        <w:rPr>
          <w:rStyle w:val="apple-converted-space"/>
          <w:rFonts w:ascii="Arial" w:hAnsi="Arial" w:cs="Arial"/>
          <w:color w:val="000000"/>
          <w:sz w:val="18"/>
          <w:szCs w:val="18"/>
        </w:rPr>
        <w:t> </w:t>
      </w:r>
      <w:r w:rsidRPr="00B306F0">
        <w:rPr>
          <w:rFonts w:ascii="Arial" w:hAnsi="Arial" w:cs="Arial"/>
          <w:sz w:val="18"/>
          <w:szCs w:val="18"/>
        </w:rPr>
        <w:t>https://fred.stlouisfed.org/series/GOLDPMGBD228NLBM</w:t>
      </w:r>
      <w:r w:rsidRPr="00B306F0">
        <w:rPr>
          <w:rFonts w:ascii="Arial" w:hAnsi="Arial" w:cs="Arial"/>
          <w:color w:val="000000"/>
          <w:sz w:val="18"/>
          <w:szCs w:val="18"/>
        </w:rPr>
        <w:t>.</w:t>
      </w:r>
    </w:p>
    <w:p w14:paraId="21C54B3B"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 NASDAQ Composite is an unmanaged index of securities traded on the NASDAQ system.</w:t>
      </w:r>
    </w:p>
    <w:p w14:paraId="38FF9202"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Yahoo! Finance is the source for any reference to the performance of an index between two specific periods.</w:t>
      </w:r>
    </w:p>
    <w:p w14:paraId="41206F6A" w14:textId="77777777" w:rsidR="00A931D3" w:rsidRPr="00B306F0" w:rsidRDefault="00A931D3" w:rsidP="0050651D">
      <w:pPr>
        <w:rPr>
          <w:rFonts w:ascii="Arial" w:hAnsi="Arial" w:cs="Arial"/>
          <w:color w:val="000000"/>
          <w:sz w:val="18"/>
          <w:szCs w:val="18"/>
        </w:rPr>
      </w:pPr>
      <w:r w:rsidRPr="00B306F0">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Past performance does not guarantee future results. Investing involves risk, including loss of principal.</w:t>
      </w:r>
    </w:p>
    <w:p w14:paraId="71F089E2"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w:t>
      </w:r>
      <w:r w:rsidRPr="00B306F0">
        <w:rPr>
          <w:rStyle w:val="apple-converted-space"/>
          <w:rFonts w:ascii="Arial" w:hAnsi="Arial" w:cs="Arial"/>
          <w:color w:val="000000"/>
          <w:sz w:val="18"/>
          <w:szCs w:val="18"/>
        </w:rPr>
        <w:t> </w:t>
      </w:r>
      <w:r w:rsidRPr="00B306F0">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Asset allocation does not ensure a profit or protect against a loss.</w:t>
      </w:r>
    </w:p>
    <w:p w14:paraId="3B971F0D" w14:textId="77777777" w:rsidR="00A931D3" w:rsidRPr="00B306F0" w:rsidRDefault="00A931D3" w:rsidP="0050651D">
      <w:pPr>
        <w:ind w:right="-36"/>
        <w:rPr>
          <w:rFonts w:ascii="Arial" w:hAnsi="Arial" w:cs="Arial"/>
          <w:color w:val="000000"/>
          <w:sz w:val="18"/>
          <w:szCs w:val="18"/>
        </w:rPr>
      </w:pPr>
      <w:r w:rsidRPr="00B306F0">
        <w:rPr>
          <w:rFonts w:ascii="Arial" w:hAnsi="Arial" w:cs="Arial"/>
          <w:color w:val="000000"/>
          <w:sz w:val="18"/>
          <w:szCs w:val="18"/>
        </w:rPr>
        <w:t>* Consult your financial professional before making any investment decision.</w:t>
      </w:r>
    </w:p>
    <w:p w14:paraId="4BD4AC37" w14:textId="77777777" w:rsidR="00A931D3" w:rsidRPr="00ED6E85" w:rsidRDefault="00A931D3" w:rsidP="0050651D">
      <w:pPr>
        <w:rPr>
          <w:rFonts w:ascii="Arial" w:hAnsi="Arial" w:cs="Arial"/>
          <w:color w:val="000000"/>
          <w:sz w:val="18"/>
          <w:szCs w:val="18"/>
        </w:rPr>
      </w:pPr>
    </w:p>
    <w:p w14:paraId="38DFA355" w14:textId="77777777" w:rsidR="00A931D3" w:rsidRPr="00ED6E85" w:rsidRDefault="00A931D3" w:rsidP="0050651D">
      <w:pPr>
        <w:widowControl w:val="0"/>
        <w:adjustRightInd w:val="0"/>
        <w:ind w:right="-36"/>
        <w:rPr>
          <w:rFonts w:ascii="Arial" w:hAnsi="Arial" w:cs="Arial"/>
          <w:sz w:val="22"/>
          <w:szCs w:val="22"/>
        </w:rPr>
      </w:pPr>
    </w:p>
    <w:p w14:paraId="7689B630" w14:textId="5AB2DF73" w:rsidR="00A931D3" w:rsidRPr="00992A41" w:rsidRDefault="00A931D3" w:rsidP="0050651D">
      <w:pPr>
        <w:widowControl w:val="0"/>
        <w:adjustRightInd w:val="0"/>
        <w:ind w:right="-36"/>
        <w:rPr>
          <w:rFonts w:ascii="Arial" w:hAnsi="Arial" w:cs="Arial"/>
          <w:sz w:val="18"/>
          <w:szCs w:val="18"/>
        </w:rPr>
      </w:pPr>
      <w:r w:rsidRPr="00992A41">
        <w:rPr>
          <w:rFonts w:ascii="Arial" w:hAnsi="Arial" w:cs="Arial"/>
          <w:sz w:val="18"/>
          <w:szCs w:val="18"/>
        </w:rPr>
        <w:t>Sources:</w:t>
      </w:r>
    </w:p>
    <w:p w14:paraId="1B331699" w14:textId="042EE2C1" w:rsidR="00B477C3" w:rsidRPr="00992A41" w:rsidRDefault="001A6382" w:rsidP="0050651D">
      <w:pPr>
        <w:widowControl w:val="0"/>
        <w:adjustRightInd w:val="0"/>
        <w:ind w:right="-36"/>
        <w:rPr>
          <w:rFonts w:ascii="Arial" w:hAnsi="Arial" w:cs="Arial"/>
          <w:color w:val="0000FF"/>
          <w:sz w:val="18"/>
          <w:szCs w:val="18"/>
        </w:rPr>
      </w:pPr>
      <w:hyperlink r:id="rId5" w:history="1">
        <w:r w:rsidR="00B477C3" w:rsidRPr="00E279D5">
          <w:rPr>
            <w:rStyle w:val="Hyperlink"/>
            <w:rFonts w:ascii="Arial" w:hAnsi="Arial" w:cs="Arial"/>
            <w:sz w:val="18"/>
            <w:szCs w:val="18"/>
          </w:rPr>
          <w:t>https://infrastructurereportcard.org/wp-content/uploads/2020/12/2021-IRC-Executive-Summary.pdf</w:t>
        </w:r>
      </w:hyperlink>
    </w:p>
    <w:p w14:paraId="38E7B101" w14:textId="15BDBF36" w:rsidR="003D4817" w:rsidRPr="00992A41" w:rsidRDefault="001A6382">
      <w:pPr>
        <w:widowControl w:val="0"/>
        <w:adjustRightInd w:val="0"/>
        <w:ind w:right="-36"/>
        <w:rPr>
          <w:rFonts w:ascii="Arial" w:hAnsi="Arial" w:cs="Arial"/>
          <w:color w:val="0000FF"/>
          <w:sz w:val="18"/>
          <w:szCs w:val="18"/>
        </w:rPr>
      </w:pPr>
      <w:hyperlink r:id="rId6" w:history="1">
        <w:r w:rsidR="00357DC9" w:rsidRPr="00992A41">
          <w:rPr>
            <w:rStyle w:val="Hyperlink"/>
            <w:rFonts w:ascii="Arial" w:hAnsi="Arial" w:cs="Arial"/>
            <w:sz w:val="18"/>
            <w:szCs w:val="18"/>
          </w:rPr>
          <w:t>https://www.cnbc.com/2021/06/24/infrastructure-deal-talks-biden-invites-bipartisan-senators-to-white-house.html</w:t>
        </w:r>
      </w:hyperlink>
    </w:p>
    <w:p w14:paraId="5A9FAD7D" w14:textId="2B5D3DD4" w:rsidR="003D4817" w:rsidRPr="00992A41" w:rsidRDefault="001A6382">
      <w:pPr>
        <w:widowControl w:val="0"/>
        <w:adjustRightInd w:val="0"/>
        <w:ind w:right="-36"/>
        <w:rPr>
          <w:rFonts w:ascii="Arial" w:hAnsi="Arial" w:cs="Arial"/>
          <w:color w:val="0000FF"/>
          <w:sz w:val="18"/>
          <w:szCs w:val="18"/>
        </w:rPr>
      </w:pPr>
      <w:hyperlink r:id="rId7" w:history="1">
        <w:r w:rsidR="00DA2679" w:rsidRPr="00992A41">
          <w:rPr>
            <w:rStyle w:val="Hyperlink"/>
            <w:rFonts w:ascii="Arial" w:hAnsi="Arial" w:cs="Arial"/>
            <w:sz w:val="18"/>
            <w:szCs w:val="18"/>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https://www.barrons.com/articles/infrastructure-inflation-jobs-51624670171</w:t>
        </w:r>
      </w:hyperlink>
      <w:r w:rsidR="00E11BB5" w:rsidRPr="00992A41">
        <w:rPr>
          <w:rStyle w:val="Hyperlink"/>
          <w:rFonts w:ascii="Arial" w:hAnsi="Arial" w:cs="Arial"/>
          <w:sz w:val="18"/>
          <w:szCs w:val="18"/>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3500000" w14:scaled="0"/>
            </w14:gradFill>
          </w14:textFill>
        </w:rPr>
        <w:t xml:space="preserve"> </w:t>
      </w:r>
      <w:r w:rsidR="00E11BB5" w:rsidRPr="00992A41">
        <w:rPr>
          <w:rStyle w:val="Hyperlink"/>
          <w:rFonts w:ascii="Arial" w:hAnsi="Arial" w:cs="Arial"/>
          <w:i/>
          <w:iCs/>
          <w:color w:val="auto"/>
          <w:sz w:val="18"/>
          <w:szCs w:val="18"/>
          <w:u w:val="none"/>
        </w:rPr>
        <w:t>(or see</w:t>
      </w:r>
      <w:r w:rsidR="00E11BB5" w:rsidRPr="00992A41">
        <w:rPr>
          <w:rStyle w:val="Hyperlink"/>
          <w:rFonts w:ascii="Arial" w:hAnsi="Arial" w:cs="Arial"/>
          <w:color w:val="auto"/>
          <w:sz w:val="18"/>
          <w:szCs w:val="18"/>
          <w:u w:val="none"/>
        </w:rPr>
        <w:t xml:space="preserve"> </w:t>
      </w:r>
      <w:hyperlink r:id="rId8" w:history="1">
        <w:r w:rsidR="00E11BB5" w:rsidRPr="00E279D5">
          <w:rPr>
            <w:rStyle w:val="Hyperlink"/>
            <w:rFonts w:ascii="Arial" w:hAnsi="Arial" w:cs="Arial"/>
            <w:sz w:val="18"/>
            <w:szCs w:val="18"/>
          </w:rPr>
          <w:t>https://resources.carsongroup.com/hubfs/WMC-Source/2021/06-28-21_Barrons_Infrastructure%20Gets%20Its%20Week_Footnote%203.pdf</w:t>
        </w:r>
      </w:hyperlink>
      <w:r w:rsidR="00E11BB5" w:rsidRPr="00992A41">
        <w:rPr>
          <w:rStyle w:val="Hyperlink"/>
          <w:rFonts w:ascii="Arial" w:hAnsi="Arial" w:cs="Arial"/>
          <w:sz w:val="18"/>
          <w:szCs w:val="18"/>
          <w:u w:val="none"/>
        </w:rPr>
        <w:t>)</w:t>
      </w:r>
    </w:p>
    <w:p w14:paraId="4DAA8B9E" w14:textId="5AB6D83F" w:rsidR="00DA2679" w:rsidRPr="00992A41" w:rsidRDefault="001A6382">
      <w:pPr>
        <w:widowControl w:val="0"/>
        <w:adjustRightInd w:val="0"/>
        <w:ind w:right="-36"/>
        <w:rPr>
          <w:rFonts w:ascii="Arial" w:hAnsi="Arial" w:cs="Arial"/>
          <w:color w:val="0000FF"/>
          <w:sz w:val="18"/>
          <w:szCs w:val="18"/>
        </w:rPr>
      </w:pPr>
      <w:hyperlink r:id="rId9" w:history="1">
        <w:r w:rsidR="00F4723B" w:rsidRPr="007A7094">
          <w:rPr>
            <w:rStyle w:val="Hyperlink"/>
            <w:rFonts w:ascii="Arial" w:hAnsi="Arial" w:cs="Arial"/>
            <w:sz w:val="18"/>
            <w:szCs w:val="18"/>
          </w:rPr>
          <w:t>https://www.bea.gov/news/2021/personal-income-and-outlays-may-2021</w:t>
        </w:r>
      </w:hyperlink>
    </w:p>
    <w:p w14:paraId="0DF25F84" w14:textId="7EB052C1" w:rsidR="00E11BB5" w:rsidRPr="00992A41" w:rsidRDefault="001A6382" w:rsidP="00436E81">
      <w:pPr>
        <w:widowControl w:val="0"/>
        <w:adjustRightInd w:val="0"/>
        <w:ind w:right="-36"/>
        <w:rPr>
          <w:rFonts w:ascii="Arial" w:hAnsi="Arial" w:cs="Arial"/>
          <w:color w:val="0000FF"/>
          <w:sz w:val="18"/>
          <w:szCs w:val="18"/>
        </w:rPr>
      </w:pPr>
      <w:hyperlink r:id="rId10" w:history="1">
        <w:r w:rsidR="00436E81" w:rsidRPr="00992A41">
          <w:rPr>
            <w:rStyle w:val="Hyperlink"/>
            <w:rFonts w:ascii="Arial" w:hAnsi="Arial" w:cs="Arial"/>
            <w:sz w:val="18"/>
            <w:szCs w:val="18"/>
          </w:rPr>
          <w:t>https://www.ft.com/content/2b07f1d2-42a5-4fd6-9fe1-441487213a36</w:t>
        </w:r>
      </w:hyperlink>
      <w:r w:rsidR="00E11BB5" w:rsidRPr="00992A41">
        <w:rPr>
          <w:rFonts w:ascii="Arial" w:hAnsi="Arial" w:cs="Arial"/>
          <w:color w:val="0000FF"/>
          <w:sz w:val="18"/>
          <w:szCs w:val="18"/>
        </w:rPr>
        <w:t xml:space="preserve"> </w:t>
      </w:r>
      <w:r w:rsidR="00E11BB5" w:rsidRPr="00992A41">
        <w:rPr>
          <w:rFonts w:ascii="Arial" w:hAnsi="Arial" w:cs="Arial"/>
          <w:i/>
          <w:iCs/>
          <w:sz w:val="18"/>
          <w:szCs w:val="18"/>
        </w:rPr>
        <w:t>(or see</w:t>
      </w:r>
      <w:r w:rsidR="00E11BB5" w:rsidRPr="00992A41">
        <w:rPr>
          <w:rFonts w:ascii="Arial" w:hAnsi="Arial" w:cs="Arial"/>
          <w:sz w:val="18"/>
          <w:szCs w:val="18"/>
        </w:rPr>
        <w:t xml:space="preserve"> </w:t>
      </w:r>
      <w:hyperlink r:id="rId11" w:history="1">
        <w:r w:rsidR="00E11BB5" w:rsidRPr="00E279D5">
          <w:rPr>
            <w:rStyle w:val="Hyperlink"/>
            <w:rFonts w:ascii="Arial" w:hAnsi="Arial" w:cs="Arial"/>
            <w:sz w:val="18"/>
            <w:szCs w:val="18"/>
          </w:rPr>
          <w:t>https://resources.carsongroup.com/hubfs/WMC-Source/2021/06-28-21_Financial%20Times_Wall%20Street%20Best%20Week%20Since_Footnote%205.pdf</w:t>
        </w:r>
      </w:hyperlink>
      <w:r w:rsidR="00E11BB5" w:rsidRPr="00E279D5">
        <w:rPr>
          <w:rFonts w:ascii="Arial" w:hAnsi="Arial" w:cs="Arial"/>
          <w:sz w:val="18"/>
          <w:szCs w:val="18"/>
        </w:rPr>
        <w:t>)</w:t>
      </w:r>
    </w:p>
    <w:p w14:paraId="28F343B5" w14:textId="4D63ACA6" w:rsidR="00F4723B" w:rsidRPr="00992A41" w:rsidRDefault="001A6382">
      <w:pPr>
        <w:widowControl w:val="0"/>
        <w:adjustRightInd w:val="0"/>
        <w:ind w:right="-36"/>
        <w:rPr>
          <w:rFonts w:ascii="Arial" w:hAnsi="Arial" w:cs="Arial"/>
          <w:color w:val="0000FF"/>
          <w:sz w:val="18"/>
          <w:szCs w:val="18"/>
        </w:rPr>
      </w:pPr>
      <w:hyperlink r:id="rId12" w:history="1">
        <w:r w:rsidR="00202B58" w:rsidRPr="00E279D5">
          <w:rPr>
            <w:rStyle w:val="Hyperlink"/>
            <w:rFonts w:ascii="Arial" w:hAnsi="Arial" w:cs="Arial"/>
            <w:sz w:val="18"/>
            <w:szCs w:val="18"/>
          </w:rPr>
          <w:t>https://infrastructurereportcard.org/wp-content/uploads/2020/12/2021-IRC-Executive-Summary.pdf</w:t>
        </w:r>
      </w:hyperlink>
      <w:r w:rsidR="00202B58" w:rsidRPr="00992A41">
        <w:rPr>
          <w:rStyle w:val="Hyperlink"/>
          <w:rFonts w:ascii="Arial" w:hAnsi="Arial" w:cs="Arial"/>
          <w:sz w:val="18"/>
          <w:szCs w:val="18"/>
          <w:u w:val="none"/>
        </w:rPr>
        <w:t xml:space="preserve"> </w:t>
      </w:r>
      <w:r w:rsidR="00992A41" w:rsidRPr="00992A41">
        <w:rPr>
          <w:rStyle w:val="Hyperlink"/>
          <w:rFonts w:ascii="Arial" w:hAnsi="Arial" w:cs="Arial"/>
          <w:color w:val="auto"/>
          <w:sz w:val="18"/>
          <w:szCs w:val="18"/>
          <w:u w:val="none"/>
        </w:rPr>
        <w:t>(</w:t>
      </w:r>
      <w:r w:rsidR="00202B58" w:rsidRPr="00992A41">
        <w:rPr>
          <w:rFonts w:ascii="Arial" w:hAnsi="Arial" w:cs="Arial"/>
          <w:sz w:val="18"/>
          <w:szCs w:val="18"/>
        </w:rPr>
        <w:t>Pages 1-5</w:t>
      </w:r>
      <w:r w:rsidR="007E29B8" w:rsidRPr="00992A41">
        <w:rPr>
          <w:rFonts w:ascii="Arial" w:hAnsi="Arial" w:cs="Arial"/>
          <w:sz w:val="18"/>
          <w:szCs w:val="18"/>
        </w:rPr>
        <w:t>, 9</w:t>
      </w:r>
      <w:r w:rsidR="00992A41" w:rsidRPr="00992A41">
        <w:rPr>
          <w:rFonts w:ascii="Arial" w:hAnsi="Arial" w:cs="Arial"/>
          <w:sz w:val="18"/>
          <w:szCs w:val="18"/>
        </w:rPr>
        <w:t>)</w:t>
      </w:r>
    </w:p>
    <w:p w14:paraId="405F61C8" w14:textId="03E343EF" w:rsidR="00436E81" w:rsidRPr="00992A41" w:rsidRDefault="001A6382">
      <w:pPr>
        <w:widowControl w:val="0"/>
        <w:adjustRightInd w:val="0"/>
        <w:ind w:right="-36"/>
        <w:rPr>
          <w:rFonts w:ascii="Arial" w:hAnsi="Arial" w:cs="Arial"/>
          <w:color w:val="0000FF"/>
          <w:sz w:val="18"/>
          <w:szCs w:val="18"/>
        </w:rPr>
      </w:pPr>
      <w:hyperlink r:id="rId13" w:history="1">
        <w:r w:rsidR="00B2144E" w:rsidRPr="00992A41">
          <w:rPr>
            <w:rStyle w:val="Hyperlink"/>
            <w:rFonts w:ascii="Arial" w:hAnsi="Arial" w:cs="Arial"/>
            <w:sz w:val="18"/>
            <w:szCs w:val="18"/>
          </w:rPr>
          <w:t>https://www.goodreads.com/author/quotes/209672.Charles_M_Schulz?page=2</w:t>
        </w:r>
      </w:hyperlink>
    </w:p>
    <w:sectPr w:rsidR="00436E81" w:rsidRPr="00992A41"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1"/>
  </w:num>
  <w:num w:numId="5">
    <w:abstractNumId w:val="12"/>
  </w:num>
  <w:num w:numId="6">
    <w:abstractNumId w:val="8"/>
  </w:num>
  <w:num w:numId="7">
    <w:abstractNumId w:val="7"/>
  </w:num>
  <w:num w:numId="8">
    <w:abstractNumId w:val="9"/>
  </w:num>
  <w:num w:numId="9">
    <w:abstractNumId w:val="4"/>
  </w:num>
  <w:num w:numId="10">
    <w:abstractNumId w:val="5"/>
  </w:num>
  <w:num w:numId="11">
    <w:abstractNumId w:val="16"/>
  </w:num>
  <w:num w:numId="12">
    <w:abstractNumId w:val="15"/>
  </w:num>
  <w:num w:numId="13">
    <w:abstractNumId w:val="6"/>
  </w:num>
  <w:num w:numId="14">
    <w:abstractNumId w:val="14"/>
  </w:num>
  <w:num w:numId="15">
    <w:abstractNumId w:val="17"/>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7ADD"/>
    <w:rsid w:val="000114D0"/>
    <w:rsid w:val="000131D2"/>
    <w:rsid w:val="00020660"/>
    <w:rsid w:val="00027925"/>
    <w:rsid w:val="00037A48"/>
    <w:rsid w:val="00040355"/>
    <w:rsid w:val="00046C29"/>
    <w:rsid w:val="00047E7A"/>
    <w:rsid w:val="0005391E"/>
    <w:rsid w:val="00076A1B"/>
    <w:rsid w:val="00091995"/>
    <w:rsid w:val="000A2F00"/>
    <w:rsid w:val="000A4F61"/>
    <w:rsid w:val="000A7C39"/>
    <w:rsid w:val="000B2434"/>
    <w:rsid w:val="000B3CA3"/>
    <w:rsid w:val="000B4D8D"/>
    <w:rsid w:val="000B6A47"/>
    <w:rsid w:val="000C7051"/>
    <w:rsid w:val="000D0C07"/>
    <w:rsid w:val="000D0E05"/>
    <w:rsid w:val="000D1C7E"/>
    <w:rsid w:val="000D3D55"/>
    <w:rsid w:val="000D67B9"/>
    <w:rsid w:val="000D7006"/>
    <w:rsid w:val="000D7E7F"/>
    <w:rsid w:val="000E2069"/>
    <w:rsid w:val="000E677A"/>
    <w:rsid w:val="00106F5A"/>
    <w:rsid w:val="0010774B"/>
    <w:rsid w:val="00107EBB"/>
    <w:rsid w:val="00113599"/>
    <w:rsid w:val="00120D3F"/>
    <w:rsid w:val="00121DD6"/>
    <w:rsid w:val="00132B31"/>
    <w:rsid w:val="00141158"/>
    <w:rsid w:val="00141E14"/>
    <w:rsid w:val="00147083"/>
    <w:rsid w:val="00150C05"/>
    <w:rsid w:val="00152195"/>
    <w:rsid w:val="001547C4"/>
    <w:rsid w:val="00161491"/>
    <w:rsid w:val="00164487"/>
    <w:rsid w:val="00166885"/>
    <w:rsid w:val="0018162D"/>
    <w:rsid w:val="00194EA9"/>
    <w:rsid w:val="00196B4B"/>
    <w:rsid w:val="00197FA6"/>
    <w:rsid w:val="001A12A7"/>
    <w:rsid w:val="001A1379"/>
    <w:rsid w:val="001A3095"/>
    <w:rsid w:val="001A357D"/>
    <w:rsid w:val="001A6382"/>
    <w:rsid w:val="001A73D8"/>
    <w:rsid w:val="001B261F"/>
    <w:rsid w:val="001B6265"/>
    <w:rsid w:val="001C00E6"/>
    <w:rsid w:val="001C0C7A"/>
    <w:rsid w:val="001C34D8"/>
    <w:rsid w:val="001D4DE8"/>
    <w:rsid w:val="002008B0"/>
    <w:rsid w:val="002009BB"/>
    <w:rsid w:val="00202B58"/>
    <w:rsid w:val="00210F61"/>
    <w:rsid w:val="00211F09"/>
    <w:rsid w:val="00222004"/>
    <w:rsid w:val="002223B0"/>
    <w:rsid w:val="00230970"/>
    <w:rsid w:val="00232DAC"/>
    <w:rsid w:val="002377AD"/>
    <w:rsid w:val="0025133E"/>
    <w:rsid w:val="00265B3C"/>
    <w:rsid w:val="00266864"/>
    <w:rsid w:val="00267A14"/>
    <w:rsid w:val="0027188F"/>
    <w:rsid w:val="00272248"/>
    <w:rsid w:val="00274A48"/>
    <w:rsid w:val="0027618F"/>
    <w:rsid w:val="0028611B"/>
    <w:rsid w:val="0029089C"/>
    <w:rsid w:val="0029202D"/>
    <w:rsid w:val="00293126"/>
    <w:rsid w:val="00294682"/>
    <w:rsid w:val="00297B52"/>
    <w:rsid w:val="00297F0A"/>
    <w:rsid w:val="002A41F2"/>
    <w:rsid w:val="002A759E"/>
    <w:rsid w:val="002A7B8E"/>
    <w:rsid w:val="002B262F"/>
    <w:rsid w:val="002C52DC"/>
    <w:rsid w:val="002C62D1"/>
    <w:rsid w:val="002D7EFF"/>
    <w:rsid w:val="002E27ED"/>
    <w:rsid w:val="002E5E35"/>
    <w:rsid w:val="00310887"/>
    <w:rsid w:val="00310A2B"/>
    <w:rsid w:val="003140AB"/>
    <w:rsid w:val="00314BDF"/>
    <w:rsid w:val="00325CBE"/>
    <w:rsid w:val="0033217F"/>
    <w:rsid w:val="00334AF2"/>
    <w:rsid w:val="00337089"/>
    <w:rsid w:val="003378B1"/>
    <w:rsid w:val="003433AE"/>
    <w:rsid w:val="00345A48"/>
    <w:rsid w:val="00351318"/>
    <w:rsid w:val="003523DD"/>
    <w:rsid w:val="00352572"/>
    <w:rsid w:val="00357BDD"/>
    <w:rsid w:val="00357DC9"/>
    <w:rsid w:val="00362D69"/>
    <w:rsid w:val="003650D4"/>
    <w:rsid w:val="00367287"/>
    <w:rsid w:val="003732F3"/>
    <w:rsid w:val="00376D99"/>
    <w:rsid w:val="003822B1"/>
    <w:rsid w:val="003837AC"/>
    <w:rsid w:val="00387487"/>
    <w:rsid w:val="0039119F"/>
    <w:rsid w:val="0039130B"/>
    <w:rsid w:val="00391EDC"/>
    <w:rsid w:val="00392235"/>
    <w:rsid w:val="003931F0"/>
    <w:rsid w:val="003A4502"/>
    <w:rsid w:val="003B27E3"/>
    <w:rsid w:val="003B3E7E"/>
    <w:rsid w:val="003B5DB0"/>
    <w:rsid w:val="003B62A6"/>
    <w:rsid w:val="003C5EE4"/>
    <w:rsid w:val="003C6577"/>
    <w:rsid w:val="003D1CE1"/>
    <w:rsid w:val="003D25ED"/>
    <w:rsid w:val="003D4817"/>
    <w:rsid w:val="003D565F"/>
    <w:rsid w:val="003D7732"/>
    <w:rsid w:val="003E41ED"/>
    <w:rsid w:val="003F1E90"/>
    <w:rsid w:val="004054DE"/>
    <w:rsid w:val="00406CD6"/>
    <w:rsid w:val="00417262"/>
    <w:rsid w:val="0042027F"/>
    <w:rsid w:val="00421E9F"/>
    <w:rsid w:val="004228A4"/>
    <w:rsid w:val="0043057B"/>
    <w:rsid w:val="00432C9D"/>
    <w:rsid w:val="00436E81"/>
    <w:rsid w:val="00443622"/>
    <w:rsid w:val="00452146"/>
    <w:rsid w:val="0045336F"/>
    <w:rsid w:val="00454989"/>
    <w:rsid w:val="004559EB"/>
    <w:rsid w:val="0047155D"/>
    <w:rsid w:val="004723E6"/>
    <w:rsid w:val="004822F8"/>
    <w:rsid w:val="0048320D"/>
    <w:rsid w:val="00487FDD"/>
    <w:rsid w:val="004A4404"/>
    <w:rsid w:val="004A73A5"/>
    <w:rsid w:val="004B1F58"/>
    <w:rsid w:val="004B3D96"/>
    <w:rsid w:val="004B448C"/>
    <w:rsid w:val="004B475A"/>
    <w:rsid w:val="004C37B0"/>
    <w:rsid w:val="004C5BB7"/>
    <w:rsid w:val="004C6AB7"/>
    <w:rsid w:val="004D2D6D"/>
    <w:rsid w:val="004E0FE2"/>
    <w:rsid w:val="004F2CDD"/>
    <w:rsid w:val="00503B1E"/>
    <w:rsid w:val="0050651D"/>
    <w:rsid w:val="00510DFD"/>
    <w:rsid w:val="0051540E"/>
    <w:rsid w:val="0053476B"/>
    <w:rsid w:val="005424AF"/>
    <w:rsid w:val="00543F0F"/>
    <w:rsid w:val="00551630"/>
    <w:rsid w:val="00553AAC"/>
    <w:rsid w:val="0055466C"/>
    <w:rsid w:val="005568FB"/>
    <w:rsid w:val="00556FA5"/>
    <w:rsid w:val="005620C1"/>
    <w:rsid w:val="00564223"/>
    <w:rsid w:val="00565B7B"/>
    <w:rsid w:val="00570B8F"/>
    <w:rsid w:val="00572E57"/>
    <w:rsid w:val="005812DC"/>
    <w:rsid w:val="00581320"/>
    <w:rsid w:val="005B0A6C"/>
    <w:rsid w:val="005B344B"/>
    <w:rsid w:val="005B51F6"/>
    <w:rsid w:val="005B5FF7"/>
    <w:rsid w:val="005D3F71"/>
    <w:rsid w:val="005E33CC"/>
    <w:rsid w:val="005F0271"/>
    <w:rsid w:val="00607EEF"/>
    <w:rsid w:val="00610EDB"/>
    <w:rsid w:val="006125EE"/>
    <w:rsid w:val="00622194"/>
    <w:rsid w:val="00624506"/>
    <w:rsid w:val="0062484E"/>
    <w:rsid w:val="00625082"/>
    <w:rsid w:val="00625D80"/>
    <w:rsid w:val="00627296"/>
    <w:rsid w:val="00627CD0"/>
    <w:rsid w:val="006300CE"/>
    <w:rsid w:val="00633EAD"/>
    <w:rsid w:val="006412FE"/>
    <w:rsid w:val="0064520C"/>
    <w:rsid w:val="006453EE"/>
    <w:rsid w:val="00645F51"/>
    <w:rsid w:val="00646BC6"/>
    <w:rsid w:val="00647D2E"/>
    <w:rsid w:val="006567D7"/>
    <w:rsid w:val="00660586"/>
    <w:rsid w:val="00661439"/>
    <w:rsid w:val="006654FD"/>
    <w:rsid w:val="00665B5A"/>
    <w:rsid w:val="00677E62"/>
    <w:rsid w:val="0068164C"/>
    <w:rsid w:val="006A117B"/>
    <w:rsid w:val="006A27DA"/>
    <w:rsid w:val="006A2DFF"/>
    <w:rsid w:val="006A4FA8"/>
    <w:rsid w:val="006C040C"/>
    <w:rsid w:val="006C0418"/>
    <w:rsid w:val="006C1B9B"/>
    <w:rsid w:val="006C5DF7"/>
    <w:rsid w:val="006C607B"/>
    <w:rsid w:val="006E3596"/>
    <w:rsid w:val="006F74D3"/>
    <w:rsid w:val="006F7613"/>
    <w:rsid w:val="007016B4"/>
    <w:rsid w:val="007067D4"/>
    <w:rsid w:val="00713498"/>
    <w:rsid w:val="00714381"/>
    <w:rsid w:val="00714AD0"/>
    <w:rsid w:val="00714B5B"/>
    <w:rsid w:val="00717ED1"/>
    <w:rsid w:val="007227D7"/>
    <w:rsid w:val="007232DE"/>
    <w:rsid w:val="0074149D"/>
    <w:rsid w:val="007611DA"/>
    <w:rsid w:val="007658A4"/>
    <w:rsid w:val="0076643C"/>
    <w:rsid w:val="00770A51"/>
    <w:rsid w:val="00771865"/>
    <w:rsid w:val="007729DC"/>
    <w:rsid w:val="007876C7"/>
    <w:rsid w:val="007922E5"/>
    <w:rsid w:val="007A4A0D"/>
    <w:rsid w:val="007A593D"/>
    <w:rsid w:val="007A7094"/>
    <w:rsid w:val="007A75CF"/>
    <w:rsid w:val="007B781E"/>
    <w:rsid w:val="007C2EFA"/>
    <w:rsid w:val="007C4583"/>
    <w:rsid w:val="007D26DA"/>
    <w:rsid w:val="007D561A"/>
    <w:rsid w:val="007E13E1"/>
    <w:rsid w:val="007E29B8"/>
    <w:rsid w:val="007F20C1"/>
    <w:rsid w:val="007F2A1D"/>
    <w:rsid w:val="007F3D48"/>
    <w:rsid w:val="007F74E8"/>
    <w:rsid w:val="00806EF1"/>
    <w:rsid w:val="00807417"/>
    <w:rsid w:val="00823F8C"/>
    <w:rsid w:val="0083029D"/>
    <w:rsid w:val="00843C3C"/>
    <w:rsid w:val="00846FB2"/>
    <w:rsid w:val="00846FF6"/>
    <w:rsid w:val="008508E1"/>
    <w:rsid w:val="00851479"/>
    <w:rsid w:val="00857CAC"/>
    <w:rsid w:val="00863AD2"/>
    <w:rsid w:val="00871809"/>
    <w:rsid w:val="00875061"/>
    <w:rsid w:val="008806F8"/>
    <w:rsid w:val="00881788"/>
    <w:rsid w:val="0088601B"/>
    <w:rsid w:val="008A0A38"/>
    <w:rsid w:val="008A3F22"/>
    <w:rsid w:val="008B073A"/>
    <w:rsid w:val="008B3B2C"/>
    <w:rsid w:val="008B3E93"/>
    <w:rsid w:val="008B45AD"/>
    <w:rsid w:val="008C06EB"/>
    <w:rsid w:val="008C4339"/>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7F36"/>
    <w:rsid w:val="00961FD2"/>
    <w:rsid w:val="0097278D"/>
    <w:rsid w:val="00992A41"/>
    <w:rsid w:val="00993990"/>
    <w:rsid w:val="00997527"/>
    <w:rsid w:val="009B7598"/>
    <w:rsid w:val="009C084C"/>
    <w:rsid w:val="009C1C60"/>
    <w:rsid w:val="009C2F87"/>
    <w:rsid w:val="009C2FD5"/>
    <w:rsid w:val="009C3795"/>
    <w:rsid w:val="009C47CF"/>
    <w:rsid w:val="009C53AE"/>
    <w:rsid w:val="009C75D3"/>
    <w:rsid w:val="009D3B1C"/>
    <w:rsid w:val="009D7627"/>
    <w:rsid w:val="009F2D77"/>
    <w:rsid w:val="009F6834"/>
    <w:rsid w:val="00A00B2E"/>
    <w:rsid w:val="00A00B45"/>
    <w:rsid w:val="00A038A2"/>
    <w:rsid w:val="00A118CA"/>
    <w:rsid w:val="00A16561"/>
    <w:rsid w:val="00A16609"/>
    <w:rsid w:val="00A20672"/>
    <w:rsid w:val="00A20EA5"/>
    <w:rsid w:val="00A21D68"/>
    <w:rsid w:val="00A248B2"/>
    <w:rsid w:val="00A311B9"/>
    <w:rsid w:val="00A35B9D"/>
    <w:rsid w:val="00A37040"/>
    <w:rsid w:val="00A410BE"/>
    <w:rsid w:val="00A461D7"/>
    <w:rsid w:val="00A479FC"/>
    <w:rsid w:val="00A5713B"/>
    <w:rsid w:val="00A57CA2"/>
    <w:rsid w:val="00A62B53"/>
    <w:rsid w:val="00A67D86"/>
    <w:rsid w:val="00A73E13"/>
    <w:rsid w:val="00A75470"/>
    <w:rsid w:val="00A831D6"/>
    <w:rsid w:val="00A87AB7"/>
    <w:rsid w:val="00A92D2C"/>
    <w:rsid w:val="00A931D3"/>
    <w:rsid w:val="00A94F79"/>
    <w:rsid w:val="00AA194C"/>
    <w:rsid w:val="00AA2B8A"/>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3E50"/>
    <w:rsid w:val="00AE7266"/>
    <w:rsid w:val="00AE7790"/>
    <w:rsid w:val="00AF200C"/>
    <w:rsid w:val="00AF6F6B"/>
    <w:rsid w:val="00B01517"/>
    <w:rsid w:val="00B03707"/>
    <w:rsid w:val="00B10112"/>
    <w:rsid w:val="00B13080"/>
    <w:rsid w:val="00B21028"/>
    <w:rsid w:val="00B2144E"/>
    <w:rsid w:val="00B21658"/>
    <w:rsid w:val="00B2298A"/>
    <w:rsid w:val="00B306F0"/>
    <w:rsid w:val="00B310BE"/>
    <w:rsid w:val="00B34F1C"/>
    <w:rsid w:val="00B414B3"/>
    <w:rsid w:val="00B477C3"/>
    <w:rsid w:val="00B47FDE"/>
    <w:rsid w:val="00B517F1"/>
    <w:rsid w:val="00B55724"/>
    <w:rsid w:val="00B55C86"/>
    <w:rsid w:val="00B61031"/>
    <w:rsid w:val="00B65A36"/>
    <w:rsid w:val="00B836F9"/>
    <w:rsid w:val="00B9056A"/>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265A5"/>
    <w:rsid w:val="00C32384"/>
    <w:rsid w:val="00C353B0"/>
    <w:rsid w:val="00C41FE1"/>
    <w:rsid w:val="00C451DA"/>
    <w:rsid w:val="00C5001F"/>
    <w:rsid w:val="00C503AD"/>
    <w:rsid w:val="00C51414"/>
    <w:rsid w:val="00C522CC"/>
    <w:rsid w:val="00C60CCD"/>
    <w:rsid w:val="00C61F62"/>
    <w:rsid w:val="00C6402C"/>
    <w:rsid w:val="00C65017"/>
    <w:rsid w:val="00C800D6"/>
    <w:rsid w:val="00C8376A"/>
    <w:rsid w:val="00C859AC"/>
    <w:rsid w:val="00C9067B"/>
    <w:rsid w:val="00C92216"/>
    <w:rsid w:val="00C94BC4"/>
    <w:rsid w:val="00C957C5"/>
    <w:rsid w:val="00C97168"/>
    <w:rsid w:val="00CB397E"/>
    <w:rsid w:val="00CB461B"/>
    <w:rsid w:val="00CB79C2"/>
    <w:rsid w:val="00CC06CA"/>
    <w:rsid w:val="00CC080E"/>
    <w:rsid w:val="00CC30DD"/>
    <w:rsid w:val="00CC5167"/>
    <w:rsid w:val="00CC7DBC"/>
    <w:rsid w:val="00CC7F25"/>
    <w:rsid w:val="00CD3889"/>
    <w:rsid w:val="00CD647A"/>
    <w:rsid w:val="00CD6D61"/>
    <w:rsid w:val="00CE036D"/>
    <w:rsid w:val="00CE0B34"/>
    <w:rsid w:val="00CE19F0"/>
    <w:rsid w:val="00CF0301"/>
    <w:rsid w:val="00CF1C25"/>
    <w:rsid w:val="00CF6FA7"/>
    <w:rsid w:val="00D00C8C"/>
    <w:rsid w:val="00D01759"/>
    <w:rsid w:val="00D0223E"/>
    <w:rsid w:val="00D10EC7"/>
    <w:rsid w:val="00D137D1"/>
    <w:rsid w:val="00D20464"/>
    <w:rsid w:val="00D20FAB"/>
    <w:rsid w:val="00D26A2E"/>
    <w:rsid w:val="00D309BB"/>
    <w:rsid w:val="00D33A1B"/>
    <w:rsid w:val="00D33ECB"/>
    <w:rsid w:val="00D40C8F"/>
    <w:rsid w:val="00D506A1"/>
    <w:rsid w:val="00D506BE"/>
    <w:rsid w:val="00D5573E"/>
    <w:rsid w:val="00D579ED"/>
    <w:rsid w:val="00D612CA"/>
    <w:rsid w:val="00D62752"/>
    <w:rsid w:val="00D72580"/>
    <w:rsid w:val="00D76A69"/>
    <w:rsid w:val="00D80D39"/>
    <w:rsid w:val="00D8435B"/>
    <w:rsid w:val="00D933A2"/>
    <w:rsid w:val="00DA2679"/>
    <w:rsid w:val="00DA268C"/>
    <w:rsid w:val="00DB559E"/>
    <w:rsid w:val="00DC02F7"/>
    <w:rsid w:val="00DC2627"/>
    <w:rsid w:val="00DC2DDE"/>
    <w:rsid w:val="00DC6995"/>
    <w:rsid w:val="00DC7095"/>
    <w:rsid w:val="00DE1BDE"/>
    <w:rsid w:val="00DE7EA8"/>
    <w:rsid w:val="00DF0ECF"/>
    <w:rsid w:val="00DF107B"/>
    <w:rsid w:val="00DF3D10"/>
    <w:rsid w:val="00E01BDB"/>
    <w:rsid w:val="00E05181"/>
    <w:rsid w:val="00E11BB5"/>
    <w:rsid w:val="00E1388E"/>
    <w:rsid w:val="00E1743A"/>
    <w:rsid w:val="00E23B8D"/>
    <w:rsid w:val="00E279D5"/>
    <w:rsid w:val="00E335CF"/>
    <w:rsid w:val="00E43A0A"/>
    <w:rsid w:val="00E53F24"/>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6E85"/>
    <w:rsid w:val="00ED7498"/>
    <w:rsid w:val="00ED752E"/>
    <w:rsid w:val="00EE2BB7"/>
    <w:rsid w:val="00EE3147"/>
    <w:rsid w:val="00EE4B70"/>
    <w:rsid w:val="00EF1E5E"/>
    <w:rsid w:val="00F04876"/>
    <w:rsid w:val="00F07339"/>
    <w:rsid w:val="00F12461"/>
    <w:rsid w:val="00F153A5"/>
    <w:rsid w:val="00F176A5"/>
    <w:rsid w:val="00F20A4B"/>
    <w:rsid w:val="00F24357"/>
    <w:rsid w:val="00F25A5E"/>
    <w:rsid w:val="00F31C4F"/>
    <w:rsid w:val="00F32638"/>
    <w:rsid w:val="00F3644B"/>
    <w:rsid w:val="00F40C3E"/>
    <w:rsid w:val="00F4723B"/>
    <w:rsid w:val="00F51F17"/>
    <w:rsid w:val="00F53AAB"/>
    <w:rsid w:val="00F53F9D"/>
    <w:rsid w:val="00F54E69"/>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1A6382"/>
    <w:rPr>
      <w:rFonts w:ascii="Times New Roman" w:eastAsia="Times New Roman" w:hAnsi="Times New Roman" w:cs="Times New Roman"/>
    </w:rPr>
  </w:style>
  <w:style w:type="paragraph" w:styleId="NormalWeb">
    <w:name w:val="Normal (Web)"/>
    <w:basedOn w:val="Normal"/>
    <w:link w:val="NormalWebChar"/>
    <w:semiHidden/>
    <w:unhideWhenUsed/>
    <w:rsid w:val="001A63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52848263">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6-28-21_Barrons_Infrastructure%20Gets%20Its%20Week_Footnote%203.pdf" TargetMode="External"/><Relationship Id="rId13" Type="http://schemas.openxmlformats.org/officeDocument/2006/relationships/hyperlink" Target="https://www.goodreads.com/author/quotes/209672.Charles_M_Schulz?page=2" TargetMode="External"/><Relationship Id="rId3" Type="http://schemas.openxmlformats.org/officeDocument/2006/relationships/settings" Target="settings.xml"/><Relationship Id="rId7" Type="http://schemas.openxmlformats.org/officeDocument/2006/relationships/hyperlink" Target="https://www.barrons.com/articles/infrastructure-inflation-jobs-51624670171" TargetMode="External"/><Relationship Id="rId12" Type="http://schemas.openxmlformats.org/officeDocument/2006/relationships/hyperlink" Target="https://infrastructurereportcard.org/wp-content/uploads/2020/12/2021-IRC-Executive-Summa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com/2021/06/24/infrastructure-deal-talks-biden-invites-bipartisan-senators-to-white-house.html" TargetMode="External"/><Relationship Id="rId11" Type="http://schemas.openxmlformats.org/officeDocument/2006/relationships/hyperlink" Target="https://resources.carsongroup.com/hubfs/WMC-Source/2021/06-28-21_Financial%20Times_Wall%20Street%20Best%20Week%20Since_Footnote%205.pdf" TargetMode="External"/><Relationship Id="rId5" Type="http://schemas.openxmlformats.org/officeDocument/2006/relationships/hyperlink" Target="https://infrastructurereportcard.org/wp-content/uploads/2020/12/2021-IRC-Executive-Summary.pdf" TargetMode="External"/><Relationship Id="rId15" Type="http://schemas.openxmlformats.org/officeDocument/2006/relationships/theme" Target="theme/theme1.xml"/><Relationship Id="rId10" Type="http://schemas.openxmlformats.org/officeDocument/2006/relationships/hyperlink" Target="https://www.ft.com/content/2b07f1d2-42a5-4fd6-9fe1-441487213a36" TargetMode="External"/><Relationship Id="rId4" Type="http://schemas.openxmlformats.org/officeDocument/2006/relationships/webSettings" Target="webSettings.xml"/><Relationship Id="rId9" Type="http://schemas.openxmlformats.org/officeDocument/2006/relationships/hyperlink" Target="https://www.bea.gov/news/2021/personal-income-and-outlays-may-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2021-07-01T15:36:00Z</dcterms:created>
  <dcterms:modified xsi:type="dcterms:W3CDTF">2021-07-01T15:36:00Z</dcterms:modified>
</cp:coreProperties>
</file>