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B9D7" w14:textId="36E6D35B" w:rsidR="00C629B4" w:rsidRPr="0036086B" w:rsidRDefault="00C629B4" w:rsidP="00C629B4">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5AD05EB2" w14:textId="77777777" w:rsidR="00C629B4" w:rsidRPr="0036086B" w:rsidRDefault="00C629B4" w:rsidP="00C629B4">
      <w:pPr>
        <w:tabs>
          <w:tab w:val="left" w:pos="8550"/>
        </w:tabs>
        <w:jc w:val="center"/>
        <w:rPr>
          <w:rFonts w:ascii="Arial" w:hAnsi="Arial" w:cs="Arial"/>
          <w:b/>
          <w:bCs/>
          <w:color w:val="0D304A"/>
          <w:sz w:val="32"/>
          <w:szCs w:val="32"/>
        </w:rPr>
      </w:pPr>
      <w:r>
        <w:rPr>
          <w:rFonts w:ascii="Arial" w:hAnsi="Arial" w:cs="Arial"/>
          <w:b/>
          <w:bCs/>
          <w:color w:val="0D304A"/>
          <w:sz w:val="32"/>
          <w:szCs w:val="32"/>
        </w:rPr>
        <w:t>August 2</w:t>
      </w:r>
      <w:r w:rsidRPr="0036086B">
        <w:rPr>
          <w:rFonts w:ascii="Arial" w:hAnsi="Arial" w:cs="Arial"/>
          <w:b/>
          <w:bCs/>
          <w:color w:val="0D304A"/>
          <w:sz w:val="32"/>
          <w:szCs w:val="32"/>
        </w:rPr>
        <w:t>, 2021</w:t>
      </w:r>
    </w:p>
    <w:p w14:paraId="06CDBA98" w14:textId="77777777" w:rsidR="00C629B4" w:rsidRPr="001874A3" w:rsidRDefault="00C629B4" w:rsidP="00C629B4">
      <w:pPr>
        <w:tabs>
          <w:tab w:val="left" w:pos="8550"/>
        </w:tabs>
        <w:jc w:val="center"/>
        <w:rPr>
          <w:rFonts w:ascii="Arial" w:hAnsi="Arial" w:cs="Arial"/>
          <w:b/>
          <w:bCs/>
          <w:color w:val="639D3F"/>
        </w:rPr>
      </w:pPr>
    </w:p>
    <w:p w14:paraId="1D7C0A39" w14:textId="77777777" w:rsidR="00C629B4" w:rsidRPr="0036086B" w:rsidRDefault="00C629B4" w:rsidP="00C629B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AA0FE9B" w14:textId="77777777" w:rsidR="00C629B4" w:rsidRPr="001874A3" w:rsidRDefault="00C629B4" w:rsidP="00C629B4">
      <w:pPr>
        <w:tabs>
          <w:tab w:val="left" w:pos="8550"/>
        </w:tabs>
        <w:rPr>
          <w:rFonts w:ascii="Arial" w:hAnsi="Arial" w:cs="Arial"/>
          <w:bCs/>
          <w:color w:val="000000" w:themeColor="text1"/>
          <w:sz w:val="20"/>
          <w:szCs w:val="20"/>
        </w:rPr>
      </w:pPr>
    </w:p>
    <w:p w14:paraId="4D54483D" w14:textId="77777777"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Chinese dragon cast a shadow over free trade and foreign investment last week. </w:t>
      </w:r>
    </w:p>
    <w:p w14:paraId="35643463" w14:textId="77777777" w:rsidR="00C629B4" w:rsidRPr="001874A3" w:rsidRDefault="00C629B4" w:rsidP="00C629B4">
      <w:pPr>
        <w:tabs>
          <w:tab w:val="left" w:pos="8550"/>
        </w:tabs>
        <w:rPr>
          <w:rFonts w:ascii="Arial" w:hAnsi="Arial" w:cs="Arial"/>
          <w:bCs/>
          <w:color w:val="000000" w:themeColor="text1"/>
          <w:sz w:val="18"/>
          <w:szCs w:val="18"/>
        </w:rPr>
      </w:pPr>
    </w:p>
    <w:p w14:paraId="603A86D7" w14:textId="76C839C3"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For decades, investors have recognized the investment potential of China. Since the country opened to foreign trade and investment in 1979, its economy has grown rapidly. Through 2018, its gross domestic product (GDP), which is a measure of economic growth, increased by 9.5% a year, on average, according to the </w:t>
      </w:r>
      <w:r w:rsidRPr="00D86C1E">
        <w:rPr>
          <w:rFonts w:ascii="Arial" w:hAnsi="Arial" w:cs="Arial"/>
          <w:bCs/>
          <w:color w:val="000000" w:themeColor="text1"/>
          <w:sz w:val="22"/>
          <w:szCs w:val="22"/>
        </w:rPr>
        <w:t>United States Congressional Research Service</w:t>
      </w:r>
      <w:r w:rsidRPr="00BA5F6A">
        <w:rPr>
          <w:rFonts w:ascii="Arial" w:hAnsi="Arial" w:cs="Arial"/>
          <w:bCs/>
          <w:color w:val="000000" w:themeColor="text1"/>
          <w:sz w:val="22"/>
          <w:szCs w:val="22"/>
        </w:rPr>
        <w:t>.</w:t>
      </w:r>
    </w:p>
    <w:p w14:paraId="4053CDE2" w14:textId="77777777" w:rsidR="00C629B4" w:rsidRPr="001874A3" w:rsidRDefault="00C629B4" w:rsidP="00C629B4">
      <w:pPr>
        <w:tabs>
          <w:tab w:val="left" w:pos="8550"/>
        </w:tabs>
        <w:rPr>
          <w:rFonts w:ascii="Arial" w:hAnsi="Arial" w:cs="Arial"/>
          <w:bCs/>
          <w:color w:val="000000" w:themeColor="text1"/>
          <w:sz w:val="20"/>
          <w:szCs w:val="20"/>
        </w:rPr>
      </w:pPr>
    </w:p>
    <w:p w14:paraId="6A0E2087" w14:textId="7A5CE56C"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country’s gradual economic development lifted millions out of poverty. In 2020, about 20 percent of the world’s </w:t>
      </w:r>
      <w:proofErr w:type="gramStart"/>
      <w:r w:rsidRPr="00BA5F6A">
        <w:rPr>
          <w:rFonts w:ascii="Arial" w:hAnsi="Arial" w:cs="Arial"/>
          <w:bCs/>
          <w:color w:val="000000" w:themeColor="text1"/>
          <w:sz w:val="22"/>
          <w:szCs w:val="22"/>
        </w:rPr>
        <w:t>middle</w:t>
      </w:r>
      <w:r>
        <w:rPr>
          <w:rFonts w:ascii="Arial" w:hAnsi="Arial" w:cs="Arial"/>
          <w:bCs/>
          <w:color w:val="000000" w:themeColor="text1"/>
          <w:sz w:val="22"/>
          <w:szCs w:val="22"/>
        </w:rPr>
        <w:t xml:space="preserve"> </w:t>
      </w:r>
      <w:r w:rsidRPr="00BA5F6A">
        <w:rPr>
          <w:rFonts w:ascii="Arial" w:hAnsi="Arial" w:cs="Arial"/>
          <w:bCs/>
          <w:color w:val="000000" w:themeColor="text1"/>
          <w:sz w:val="22"/>
          <w:szCs w:val="22"/>
        </w:rPr>
        <w:t>class lived in</w:t>
      </w:r>
      <w:proofErr w:type="gramEnd"/>
      <w:r w:rsidRPr="00BA5F6A">
        <w:rPr>
          <w:rFonts w:ascii="Arial" w:hAnsi="Arial" w:cs="Arial"/>
          <w:bCs/>
          <w:color w:val="000000" w:themeColor="text1"/>
          <w:sz w:val="22"/>
          <w:szCs w:val="22"/>
        </w:rPr>
        <w:t xml:space="preserve"> China. China’s middle class has an appetite for goods and services that rivals that of America’s middle class, creating demand for a wealth of goods and services, reported the </w:t>
      </w:r>
      <w:r w:rsidRPr="00D86C1E">
        <w:rPr>
          <w:rFonts w:ascii="Arial" w:hAnsi="Arial" w:cs="Arial"/>
          <w:bCs/>
          <w:color w:val="000000" w:themeColor="text1"/>
          <w:sz w:val="22"/>
          <w:szCs w:val="22"/>
        </w:rPr>
        <w:t>Brookings Institute</w:t>
      </w:r>
      <w:r w:rsidRPr="00BA5F6A">
        <w:rPr>
          <w:rFonts w:ascii="Arial" w:hAnsi="Arial" w:cs="Arial"/>
          <w:bCs/>
          <w:color w:val="000000" w:themeColor="text1"/>
          <w:sz w:val="22"/>
          <w:szCs w:val="22"/>
        </w:rPr>
        <w:t>.</w:t>
      </w:r>
    </w:p>
    <w:p w14:paraId="3B02DB8C" w14:textId="77777777" w:rsidR="00C629B4" w:rsidRPr="001874A3" w:rsidRDefault="00C629B4" w:rsidP="00C629B4">
      <w:pPr>
        <w:tabs>
          <w:tab w:val="left" w:pos="8550"/>
        </w:tabs>
        <w:rPr>
          <w:rFonts w:ascii="Arial" w:hAnsi="Arial" w:cs="Arial"/>
          <w:bCs/>
          <w:color w:val="000000" w:themeColor="text1"/>
          <w:sz w:val="20"/>
          <w:szCs w:val="20"/>
        </w:rPr>
      </w:pPr>
    </w:p>
    <w:p w14:paraId="77AD510A" w14:textId="0FC2525F"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In recent months, investors have been unsettled as Chinese authorities aggressively implemented new regulations for its online education industry and its technology companies. Austin </w:t>
      </w:r>
      <w:proofErr w:type="spellStart"/>
      <w:r w:rsidRPr="00BA5F6A">
        <w:rPr>
          <w:rFonts w:ascii="Arial" w:hAnsi="Arial" w:cs="Arial"/>
          <w:bCs/>
          <w:color w:val="000000" w:themeColor="text1"/>
          <w:sz w:val="22"/>
          <w:szCs w:val="22"/>
        </w:rPr>
        <w:t>Carr</w:t>
      </w:r>
      <w:proofErr w:type="spellEnd"/>
      <w:r w:rsidRPr="00BA5F6A">
        <w:rPr>
          <w:rFonts w:ascii="Arial" w:hAnsi="Arial" w:cs="Arial"/>
          <w:bCs/>
          <w:color w:val="000000" w:themeColor="text1"/>
          <w:sz w:val="22"/>
          <w:szCs w:val="22"/>
        </w:rPr>
        <w:t xml:space="preserve"> and Coco Liu of </w:t>
      </w:r>
      <w:r w:rsidRPr="00BA5F6A">
        <w:rPr>
          <w:rFonts w:ascii="Arial" w:hAnsi="Arial" w:cs="Arial"/>
          <w:bCs/>
          <w:i/>
          <w:iCs/>
          <w:color w:val="000000" w:themeColor="text1"/>
          <w:sz w:val="22"/>
          <w:szCs w:val="22"/>
        </w:rPr>
        <w:t>Bloomberg</w:t>
      </w:r>
      <w:r w:rsidRPr="00BA5F6A">
        <w:rPr>
          <w:rFonts w:ascii="Arial" w:hAnsi="Arial" w:cs="Arial"/>
          <w:bCs/>
          <w:color w:val="000000" w:themeColor="text1"/>
          <w:sz w:val="22"/>
          <w:szCs w:val="22"/>
        </w:rPr>
        <w:t xml:space="preserve"> reported</w:t>
      </w:r>
      <w:r>
        <w:rPr>
          <w:rFonts w:ascii="Arial" w:hAnsi="Arial" w:cs="Arial"/>
          <w:bCs/>
          <w:color w:val="000000" w:themeColor="text1"/>
          <w:sz w:val="22"/>
          <w:szCs w:val="22"/>
        </w:rPr>
        <w:t xml:space="preserve">: </w:t>
      </w:r>
    </w:p>
    <w:p w14:paraId="4F0ADBE7" w14:textId="77777777" w:rsidR="00C629B4" w:rsidRPr="001874A3" w:rsidRDefault="00C629B4" w:rsidP="00C629B4">
      <w:pPr>
        <w:tabs>
          <w:tab w:val="left" w:pos="8550"/>
        </w:tabs>
        <w:rPr>
          <w:rFonts w:ascii="Arial" w:hAnsi="Arial" w:cs="Arial"/>
          <w:bCs/>
          <w:color w:val="000000" w:themeColor="text1"/>
          <w:sz w:val="20"/>
          <w:szCs w:val="20"/>
        </w:rPr>
      </w:pPr>
    </w:p>
    <w:p w14:paraId="6EA2FCB7" w14:textId="58DA5C8A"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“President Xi’s government has outlined sectors it wants to prioritize, including semiconductors and artificial intelligence. Xi has called the data its tech industry collects ‘an essential and strategic resource’ and has been pushing to tap into it for years.”</w:t>
      </w:r>
    </w:p>
    <w:p w14:paraId="7DC5E37A" w14:textId="77777777" w:rsidR="00C629B4" w:rsidRPr="001874A3" w:rsidRDefault="00C629B4" w:rsidP="00C629B4">
      <w:pPr>
        <w:tabs>
          <w:tab w:val="left" w:pos="8550"/>
        </w:tabs>
        <w:rPr>
          <w:rFonts w:ascii="Arial" w:hAnsi="Arial" w:cs="Arial"/>
          <w:bCs/>
          <w:color w:val="000000" w:themeColor="text1"/>
          <w:sz w:val="20"/>
          <w:szCs w:val="20"/>
        </w:rPr>
      </w:pPr>
    </w:p>
    <w:p w14:paraId="2BB4A7D9" w14:textId="4C1D0129"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In early July, the Cyberspace Administration of China launched an investigation of the nation’s largest ride-hailing service company for monopolistic behavior. A month before, the company had raised $4.4 billion when it listed shares on the New York Stock Exchange. Jing Yang of </w:t>
      </w:r>
      <w:r w:rsidRPr="00BA5F6A">
        <w:rPr>
          <w:rFonts w:ascii="Arial" w:hAnsi="Arial" w:cs="Arial"/>
          <w:bCs/>
          <w:i/>
          <w:iCs/>
          <w:color w:val="000000" w:themeColor="text1"/>
          <w:sz w:val="22"/>
          <w:szCs w:val="22"/>
        </w:rPr>
        <w:t>The</w:t>
      </w:r>
      <w:r w:rsidRPr="00BA5F6A">
        <w:rPr>
          <w:rFonts w:ascii="Arial" w:hAnsi="Arial" w:cs="Arial"/>
          <w:bCs/>
          <w:color w:val="000000" w:themeColor="text1"/>
          <w:sz w:val="22"/>
          <w:szCs w:val="22"/>
        </w:rPr>
        <w:t xml:space="preserve"> </w:t>
      </w:r>
      <w:r w:rsidRPr="00BA5F6A">
        <w:rPr>
          <w:rFonts w:ascii="Arial" w:hAnsi="Arial" w:cs="Arial"/>
          <w:bCs/>
          <w:i/>
          <w:iCs/>
          <w:color w:val="000000" w:themeColor="text1"/>
          <w:sz w:val="22"/>
          <w:szCs w:val="22"/>
        </w:rPr>
        <w:t>Wall Street Journal</w:t>
      </w:r>
      <w:r w:rsidRPr="00BA5F6A">
        <w:rPr>
          <w:rFonts w:ascii="Arial" w:hAnsi="Arial" w:cs="Arial"/>
          <w:bCs/>
          <w:color w:val="000000" w:themeColor="text1"/>
          <w:sz w:val="22"/>
          <w:szCs w:val="22"/>
        </w:rPr>
        <w:t xml:space="preserve"> recently reported the company is considering delisting in an effort to placate Chinese authorities and compensate investors for losses.</w:t>
      </w:r>
    </w:p>
    <w:p w14:paraId="4C97F24B" w14:textId="77777777" w:rsidR="00C629B4" w:rsidRPr="001874A3" w:rsidRDefault="00C629B4" w:rsidP="00C629B4">
      <w:pPr>
        <w:tabs>
          <w:tab w:val="left" w:pos="8550"/>
        </w:tabs>
        <w:rPr>
          <w:rFonts w:ascii="Arial" w:hAnsi="Arial" w:cs="Arial"/>
          <w:bCs/>
          <w:color w:val="000000" w:themeColor="text1"/>
          <w:sz w:val="20"/>
          <w:szCs w:val="20"/>
        </w:rPr>
      </w:pPr>
    </w:p>
    <w:p w14:paraId="7C370581" w14:textId="2CDEBD23"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Last week, “The selloff in Chinese stocks went from an orderly pullback to a full-blown panic…after China told its for-profit education companies that they would have to become nonprofits,” reported Ben Levisohn of </w:t>
      </w:r>
      <w:r w:rsidRPr="00BA5F6A">
        <w:rPr>
          <w:rFonts w:ascii="Arial" w:hAnsi="Arial" w:cs="Arial"/>
          <w:bCs/>
          <w:i/>
          <w:iCs/>
          <w:color w:val="000000" w:themeColor="text1"/>
          <w:sz w:val="22"/>
          <w:szCs w:val="22"/>
        </w:rPr>
        <w:t>Barron’s</w:t>
      </w:r>
      <w:r w:rsidRPr="00BA5F6A">
        <w:rPr>
          <w:rFonts w:ascii="Arial" w:hAnsi="Arial" w:cs="Arial"/>
          <w:bCs/>
          <w:color w:val="000000" w:themeColor="text1"/>
          <w:sz w:val="22"/>
          <w:szCs w:val="22"/>
        </w:rPr>
        <w:t>.</w:t>
      </w:r>
    </w:p>
    <w:p w14:paraId="65DB1308" w14:textId="77777777" w:rsidR="00C629B4" w:rsidRPr="001874A3" w:rsidRDefault="00C629B4" w:rsidP="00C629B4">
      <w:pPr>
        <w:tabs>
          <w:tab w:val="left" w:pos="8550"/>
        </w:tabs>
        <w:rPr>
          <w:rFonts w:ascii="Arial" w:hAnsi="Arial" w:cs="Arial"/>
          <w:bCs/>
          <w:color w:val="000000" w:themeColor="text1"/>
          <w:sz w:val="20"/>
          <w:szCs w:val="20"/>
        </w:rPr>
      </w:pPr>
    </w:p>
    <w:p w14:paraId="20760CC6" w14:textId="780AAB26"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w:t>
      </w:r>
      <w:r w:rsidRPr="00BA5F6A">
        <w:rPr>
          <w:rFonts w:ascii="Arial" w:hAnsi="Arial" w:cs="Arial"/>
          <w:bCs/>
          <w:i/>
          <w:iCs/>
          <w:color w:val="000000" w:themeColor="text1"/>
          <w:sz w:val="22"/>
          <w:szCs w:val="22"/>
        </w:rPr>
        <w:t>Securities and Exchange Commission</w:t>
      </w:r>
      <w:r w:rsidRPr="00BA5F6A">
        <w:rPr>
          <w:rFonts w:ascii="Arial" w:hAnsi="Arial" w:cs="Arial"/>
          <w:bCs/>
          <w:color w:val="000000" w:themeColor="text1"/>
          <w:sz w:val="22"/>
          <w:szCs w:val="22"/>
        </w:rPr>
        <w:t xml:space="preserve"> responded by announcing that it would stop processing registrations of U.S. IPOs and other sales of securities by Chinese companies until specific requirements were met.</w:t>
      </w:r>
    </w:p>
    <w:p w14:paraId="6BD4CCDD" w14:textId="77777777" w:rsidR="00C629B4" w:rsidRPr="001874A3" w:rsidRDefault="00C629B4" w:rsidP="00C629B4">
      <w:pPr>
        <w:tabs>
          <w:tab w:val="left" w:pos="8550"/>
        </w:tabs>
        <w:rPr>
          <w:rFonts w:ascii="Arial" w:hAnsi="Arial" w:cs="Arial"/>
          <w:bCs/>
          <w:color w:val="000000" w:themeColor="text1"/>
          <w:sz w:val="20"/>
          <w:szCs w:val="20"/>
        </w:rPr>
      </w:pPr>
    </w:p>
    <w:p w14:paraId="5DC41852" w14:textId="69E0AE21" w:rsidR="00C629B4" w:rsidRPr="00BA5F6A" w:rsidRDefault="00C629B4" w:rsidP="00C629B4">
      <w:pPr>
        <w:tabs>
          <w:tab w:val="left" w:pos="36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Shanghai Composite Index finished the week lower, as did major U.S. stock indices, reported </w:t>
      </w:r>
      <w:r w:rsidRPr="00BA5F6A">
        <w:rPr>
          <w:rFonts w:ascii="Arial" w:hAnsi="Arial" w:cs="Arial"/>
          <w:bCs/>
          <w:i/>
          <w:iCs/>
          <w:color w:val="000000" w:themeColor="text1"/>
          <w:sz w:val="22"/>
          <w:szCs w:val="22"/>
        </w:rPr>
        <w:t>Barron’s</w:t>
      </w:r>
      <w:r w:rsidRPr="00BA5F6A">
        <w:rPr>
          <w:rFonts w:ascii="Arial" w:hAnsi="Arial" w:cs="Arial"/>
          <w:bCs/>
          <w:color w:val="000000" w:themeColor="text1"/>
          <w:sz w:val="22"/>
          <w:szCs w:val="22"/>
        </w:rPr>
        <w:t>. The yield on 10-year U.S. Treasuries closed lower, too.</w:t>
      </w:r>
    </w:p>
    <w:p w14:paraId="46E5DA21" w14:textId="77777777" w:rsidR="00C629B4" w:rsidRPr="001874A3" w:rsidRDefault="00C629B4" w:rsidP="00C629B4">
      <w:pPr>
        <w:tabs>
          <w:tab w:val="left" w:pos="8550"/>
        </w:tabs>
        <w:rPr>
          <w:rFonts w:ascii="Arial" w:hAnsi="Arial" w:cs="Arial"/>
          <w:b/>
          <w:color w:val="000000" w:themeColor="text1"/>
          <w:sz w:val="20"/>
          <w:szCs w:val="20"/>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C629B4" w:rsidRPr="00BA5F6A" w14:paraId="31070BA1"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03BE"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color w:val="000000" w:themeColor="text1"/>
                <w:sz w:val="22"/>
                <w:szCs w:val="22"/>
              </w:rPr>
              <w:br w:type="page"/>
            </w:r>
            <w:r w:rsidRPr="00BA5F6A">
              <w:rPr>
                <w:rFonts w:ascii="Arial" w:hAnsi="Arial" w:cs="Arial"/>
                <w:b/>
                <w:bCs/>
                <w:color w:val="000000" w:themeColor="text1"/>
                <w:sz w:val="22"/>
                <w:szCs w:val="22"/>
              </w:rPr>
              <w:t>Data as of 7/30/21</w:t>
            </w:r>
          </w:p>
        </w:tc>
        <w:tc>
          <w:tcPr>
            <w:tcW w:w="1170" w:type="dxa"/>
            <w:tcBorders>
              <w:top w:val="single" w:sz="4" w:space="0" w:color="auto"/>
              <w:left w:val="nil"/>
              <w:bottom w:val="single" w:sz="4" w:space="0" w:color="auto"/>
              <w:right w:val="single" w:sz="4" w:space="0" w:color="auto"/>
            </w:tcBorders>
            <w:vAlign w:val="center"/>
          </w:tcPr>
          <w:p w14:paraId="18129579"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D09C4"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6C70A1"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C29B4D1"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0A9815"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793585"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10-Year</w:t>
            </w:r>
          </w:p>
        </w:tc>
      </w:tr>
      <w:tr w:rsidR="00C629B4" w:rsidRPr="00BA5F6A" w14:paraId="6EDF6BB8" w14:textId="77777777" w:rsidTr="00F267D5">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655F0EF"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5A08EBAC"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46003A"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17.0%</w:t>
            </w:r>
          </w:p>
        </w:tc>
        <w:tc>
          <w:tcPr>
            <w:tcW w:w="990" w:type="dxa"/>
            <w:tcBorders>
              <w:top w:val="nil"/>
              <w:left w:val="nil"/>
              <w:bottom w:val="single" w:sz="4" w:space="0" w:color="auto"/>
              <w:right w:val="single" w:sz="4" w:space="0" w:color="auto"/>
            </w:tcBorders>
            <w:shd w:val="clear" w:color="auto" w:fill="auto"/>
            <w:noWrap/>
            <w:vAlign w:val="center"/>
          </w:tcPr>
          <w:p w14:paraId="4F836346"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35.4%</w:t>
            </w:r>
          </w:p>
        </w:tc>
        <w:tc>
          <w:tcPr>
            <w:tcW w:w="900" w:type="dxa"/>
            <w:tcBorders>
              <w:top w:val="single" w:sz="4" w:space="0" w:color="auto"/>
              <w:left w:val="nil"/>
              <w:bottom w:val="single" w:sz="4" w:space="0" w:color="auto"/>
              <w:right w:val="single" w:sz="4" w:space="0" w:color="auto"/>
            </w:tcBorders>
            <w:shd w:val="clear" w:color="auto" w:fill="auto"/>
            <w:vAlign w:val="center"/>
          </w:tcPr>
          <w:p w14:paraId="7E8442BA"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16.2%</w:t>
            </w:r>
          </w:p>
        </w:tc>
        <w:tc>
          <w:tcPr>
            <w:tcW w:w="900" w:type="dxa"/>
            <w:tcBorders>
              <w:top w:val="nil"/>
              <w:left w:val="single" w:sz="4" w:space="0" w:color="auto"/>
              <w:bottom w:val="single" w:sz="4" w:space="0" w:color="auto"/>
              <w:right w:val="single" w:sz="4" w:space="0" w:color="auto"/>
            </w:tcBorders>
            <w:shd w:val="clear" w:color="auto" w:fill="auto"/>
            <w:vAlign w:val="center"/>
          </w:tcPr>
          <w:p w14:paraId="3300D2A8"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15.2%</w:t>
            </w:r>
          </w:p>
        </w:tc>
        <w:tc>
          <w:tcPr>
            <w:tcW w:w="1080" w:type="dxa"/>
            <w:tcBorders>
              <w:top w:val="nil"/>
              <w:left w:val="single" w:sz="4" w:space="0" w:color="auto"/>
              <w:bottom w:val="single" w:sz="4" w:space="0" w:color="auto"/>
              <w:right w:val="single" w:sz="4" w:space="0" w:color="auto"/>
            </w:tcBorders>
            <w:shd w:val="clear" w:color="auto" w:fill="auto"/>
            <w:vAlign w:val="center"/>
          </w:tcPr>
          <w:p w14:paraId="419E3EE3"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13.1%</w:t>
            </w:r>
          </w:p>
        </w:tc>
      </w:tr>
      <w:tr w:rsidR="00C629B4" w:rsidRPr="00BA5F6A" w14:paraId="5D4A479E"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46935"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51B4D75E"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70512" w14:textId="77777777" w:rsidR="00C629B4" w:rsidRPr="00BA5F6A" w:rsidRDefault="00C629B4" w:rsidP="00F267D5">
            <w:pPr>
              <w:tabs>
                <w:tab w:val="left" w:pos="263"/>
                <w:tab w:val="center" w:pos="372"/>
                <w:tab w:val="left" w:pos="8550"/>
              </w:tabs>
              <w:jc w:val="center"/>
              <w:rPr>
                <w:rFonts w:ascii="Arial" w:hAnsi="Arial" w:cs="Arial"/>
                <w:sz w:val="22"/>
                <w:szCs w:val="22"/>
              </w:rPr>
            </w:pPr>
            <w:r w:rsidRPr="00BA5F6A">
              <w:rPr>
                <w:rFonts w:ascii="Arial" w:hAnsi="Arial" w:cs="Arial"/>
                <w:sz w:val="22"/>
                <w:szCs w:val="22"/>
              </w:rPr>
              <w:t>6.3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4A47CD"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25.4</w:t>
            </w:r>
          </w:p>
        </w:tc>
        <w:tc>
          <w:tcPr>
            <w:tcW w:w="900" w:type="dxa"/>
            <w:tcBorders>
              <w:top w:val="single" w:sz="4" w:space="0" w:color="auto"/>
              <w:left w:val="nil"/>
              <w:bottom w:val="single" w:sz="4" w:space="0" w:color="auto"/>
              <w:right w:val="single" w:sz="4" w:space="0" w:color="auto"/>
            </w:tcBorders>
            <w:shd w:val="clear" w:color="auto" w:fill="auto"/>
            <w:vAlign w:val="center"/>
          </w:tcPr>
          <w:p w14:paraId="0DB14929"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505A85"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AD9C19"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3.3</w:t>
            </w:r>
          </w:p>
        </w:tc>
      </w:tr>
      <w:tr w:rsidR="00C629B4" w:rsidRPr="00BA5F6A" w14:paraId="3B038D92"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5EC1"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7401CA3B"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83B83" w14:textId="77777777" w:rsidR="00C629B4" w:rsidRPr="00BA5F6A" w:rsidRDefault="00C629B4" w:rsidP="00F267D5">
            <w:pPr>
              <w:tabs>
                <w:tab w:val="left" w:pos="263"/>
                <w:tab w:val="center" w:pos="372"/>
                <w:tab w:val="left" w:pos="8550"/>
              </w:tabs>
              <w:jc w:val="center"/>
              <w:rPr>
                <w:rFonts w:ascii="Arial" w:hAnsi="Arial" w:cs="Arial"/>
                <w:sz w:val="22"/>
                <w:szCs w:val="22"/>
              </w:rPr>
            </w:pPr>
            <w:r w:rsidRPr="00BA5F6A">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CFD0A7"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38847C1F"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9A88DA"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80F9FF"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2.7</w:t>
            </w:r>
          </w:p>
        </w:tc>
      </w:tr>
      <w:tr w:rsidR="00C629B4" w:rsidRPr="00BA5F6A" w14:paraId="787B9850"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ADD07"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42DE17DB"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5FCE1"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33926"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-6.7</w:t>
            </w:r>
          </w:p>
        </w:tc>
        <w:tc>
          <w:tcPr>
            <w:tcW w:w="900" w:type="dxa"/>
            <w:tcBorders>
              <w:top w:val="single" w:sz="4" w:space="0" w:color="auto"/>
              <w:left w:val="nil"/>
              <w:bottom w:val="single" w:sz="4" w:space="0" w:color="auto"/>
              <w:right w:val="single" w:sz="4" w:space="0" w:color="auto"/>
            </w:tcBorders>
            <w:shd w:val="clear" w:color="auto" w:fill="auto"/>
            <w:vAlign w:val="center"/>
          </w:tcPr>
          <w:p w14:paraId="53B458D8"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C141D7"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07BA1C"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1.2</w:t>
            </w:r>
          </w:p>
        </w:tc>
      </w:tr>
      <w:tr w:rsidR="00C629B4" w:rsidRPr="00BA5F6A" w14:paraId="07BBF3FD"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F3497"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68E164B0"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099FE"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23.4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8067E3"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41.1</w:t>
            </w:r>
          </w:p>
        </w:tc>
        <w:tc>
          <w:tcPr>
            <w:tcW w:w="900" w:type="dxa"/>
            <w:tcBorders>
              <w:top w:val="single" w:sz="4" w:space="0" w:color="auto"/>
              <w:left w:val="nil"/>
              <w:bottom w:val="single" w:sz="4" w:space="0" w:color="auto"/>
              <w:right w:val="single" w:sz="4" w:space="0" w:color="auto"/>
            </w:tcBorders>
            <w:shd w:val="clear" w:color="auto" w:fill="auto"/>
            <w:vAlign w:val="center"/>
          </w:tcPr>
          <w:p w14:paraId="611E354C"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EF8989"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7C4050"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-5.2</w:t>
            </w:r>
          </w:p>
        </w:tc>
      </w:tr>
    </w:tbl>
    <w:p w14:paraId="508BE9DB" w14:textId="77777777" w:rsidR="00C629B4" w:rsidRPr="003D6E31" w:rsidRDefault="00C629B4" w:rsidP="00C629B4">
      <w:pPr>
        <w:rPr>
          <w:rFonts w:ascii="Arial" w:hAnsi="Arial" w:cs="Arial"/>
          <w:sz w:val="18"/>
          <w:szCs w:val="18"/>
        </w:rPr>
      </w:pPr>
      <w:r w:rsidRPr="003D6E31">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2975233" w14:textId="77777777" w:rsidR="00C629B4" w:rsidRPr="003D6E31" w:rsidRDefault="00C629B4" w:rsidP="00C629B4">
      <w:pPr>
        <w:rPr>
          <w:rFonts w:ascii="Arial" w:hAnsi="Arial" w:cs="Arial"/>
          <w:sz w:val="18"/>
          <w:szCs w:val="18"/>
        </w:rPr>
      </w:pPr>
      <w:r w:rsidRPr="003D6E31">
        <w:rPr>
          <w:rFonts w:ascii="Arial" w:hAnsi="Arial" w:cs="Arial"/>
          <w:sz w:val="18"/>
          <w:szCs w:val="18"/>
        </w:rPr>
        <w:t>Sources: Yahoo! Finance; MarketWatch; djindexes.com; Federal Reserve Bank of St. Louis; London Bullion Market Association.</w:t>
      </w:r>
    </w:p>
    <w:p w14:paraId="223927A0" w14:textId="77777777" w:rsidR="00C629B4" w:rsidRPr="003D6E31" w:rsidRDefault="00C629B4" w:rsidP="00C629B4">
      <w:pPr>
        <w:rPr>
          <w:rFonts w:ascii="Arial" w:hAnsi="Arial" w:cs="Arial"/>
          <w:sz w:val="18"/>
          <w:szCs w:val="18"/>
        </w:rPr>
      </w:pPr>
      <w:r w:rsidRPr="003D6E31">
        <w:rPr>
          <w:rFonts w:ascii="Arial" w:hAnsi="Arial" w:cs="Arial"/>
          <w:sz w:val="18"/>
          <w:szCs w:val="18"/>
        </w:rPr>
        <w:t>Past performance is no guarantee of future results. Indices are unmanaged and cannot be invested into directly. N/A means not applicable.</w:t>
      </w:r>
    </w:p>
    <w:p w14:paraId="05B1E857" w14:textId="77777777" w:rsidR="00C629B4" w:rsidRPr="001874A3" w:rsidRDefault="00C629B4" w:rsidP="00C629B4">
      <w:pPr>
        <w:rPr>
          <w:rFonts w:ascii="Arial" w:hAnsi="Arial" w:cs="Arial"/>
          <w:bCs/>
          <w:color w:val="000000" w:themeColor="text1"/>
          <w:sz w:val="20"/>
          <w:szCs w:val="20"/>
        </w:rPr>
      </w:pPr>
    </w:p>
    <w:p w14:paraId="152B0276" w14:textId="77777777" w:rsidR="00C629B4" w:rsidRPr="00BA5F6A" w:rsidRDefault="00C629B4" w:rsidP="00C629B4">
      <w:pPr>
        <w:tabs>
          <w:tab w:val="left" w:pos="8550"/>
        </w:tabs>
        <w:rPr>
          <w:rFonts w:ascii="Arial" w:hAnsi="Arial" w:cs="Arial"/>
          <w:bCs/>
          <w:color w:val="000000" w:themeColor="text1"/>
          <w:sz w:val="22"/>
          <w:szCs w:val="22"/>
        </w:rPr>
      </w:pPr>
      <w:r>
        <w:rPr>
          <w:rFonts w:ascii="Arial" w:hAnsi="Arial" w:cs="Arial"/>
          <w:b/>
          <w:bCs/>
          <w:color w:val="0D304A"/>
          <w:sz w:val="22"/>
          <w:szCs w:val="22"/>
        </w:rPr>
        <w:t>READY TO COMPETE?</w:t>
      </w:r>
      <w:r w:rsidRPr="00BA5F6A">
        <w:rPr>
          <w:rFonts w:ascii="Arial" w:hAnsi="Arial" w:cs="Arial"/>
          <w:b/>
          <w:bCs/>
          <w:color w:val="35DB3F"/>
          <w:sz w:val="22"/>
          <w:szCs w:val="22"/>
        </w:rPr>
        <w:t xml:space="preserve"> </w:t>
      </w:r>
      <w:r w:rsidRPr="00BA5F6A">
        <w:rPr>
          <w:rFonts w:ascii="Arial" w:hAnsi="Arial" w:cs="Arial"/>
          <w:bCs/>
          <w:color w:val="000000" w:themeColor="text1"/>
          <w:sz w:val="22"/>
          <w:szCs w:val="22"/>
        </w:rPr>
        <w:t>Watching the Olympics sparks the competitive spirit in many people. If you’re looking for a way to compete, try taking this financial literacy quiz. If you like, you can create your own event by having family and friends test their knowledge, too.</w:t>
      </w:r>
    </w:p>
    <w:p w14:paraId="2E0A2CD4" w14:textId="77777777" w:rsidR="00C629B4" w:rsidRPr="001874A3" w:rsidRDefault="00C629B4" w:rsidP="00C629B4">
      <w:pPr>
        <w:tabs>
          <w:tab w:val="left" w:pos="8550"/>
        </w:tabs>
        <w:rPr>
          <w:rFonts w:ascii="Arial" w:hAnsi="Arial" w:cs="Arial"/>
          <w:bCs/>
          <w:color w:val="000000" w:themeColor="text1"/>
          <w:sz w:val="20"/>
          <w:szCs w:val="20"/>
        </w:rPr>
      </w:pPr>
    </w:p>
    <w:p w14:paraId="57669130" w14:textId="6E275430"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Which of the following does </w:t>
      </w:r>
      <w:r w:rsidRPr="003D6E31">
        <w:rPr>
          <w:rFonts w:ascii="Arial" w:hAnsi="Arial" w:cs="Arial"/>
          <w:bCs/>
          <w:color w:val="000000" w:themeColor="text1"/>
          <w:sz w:val="22"/>
          <w:szCs w:val="22"/>
        </w:rPr>
        <w:t>Experian</w:t>
      </w:r>
      <w:r w:rsidRPr="00BA5F6A">
        <w:rPr>
          <w:rFonts w:ascii="Arial" w:hAnsi="Arial" w:cs="Arial"/>
          <w:bCs/>
          <w:color w:val="000000" w:themeColor="text1"/>
          <w:sz w:val="22"/>
          <w:szCs w:val="22"/>
        </w:rPr>
        <w:t xml:space="preserve"> say is the most important to your credit score?</w:t>
      </w:r>
    </w:p>
    <w:p w14:paraId="14DCC5EB"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Payment history</w:t>
      </w:r>
    </w:p>
    <w:p w14:paraId="74A175ED"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Amount owed</w:t>
      </w:r>
    </w:p>
    <w:p w14:paraId="7135EFB8"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Credit history length</w:t>
      </w:r>
    </w:p>
    <w:p w14:paraId="3D3A51F7"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New credit applications</w:t>
      </w:r>
    </w:p>
    <w:p w14:paraId="01674EC5" w14:textId="77777777" w:rsidR="00C629B4" w:rsidRPr="001874A3" w:rsidRDefault="00C629B4" w:rsidP="00C629B4">
      <w:pPr>
        <w:pStyle w:val="ListParagraph"/>
        <w:tabs>
          <w:tab w:val="left" w:pos="8550"/>
        </w:tabs>
        <w:ind w:left="1440"/>
        <w:rPr>
          <w:rFonts w:ascii="Arial" w:hAnsi="Arial" w:cs="Arial"/>
          <w:bCs/>
          <w:color w:val="000000" w:themeColor="text1"/>
          <w:sz w:val="20"/>
          <w:szCs w:val="20"/>
        </w:rPr>
      </w:pPr>
    </w:p>
    <w:p w14:paraId="73458D77" w14:textId="1E50983F"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Which has the most risk, according to </w:t>
      </w:r>
      <w:r w:rsidRPr="00BA5F6A">
        <w:rPr>
          <w:rFonts w:ascii="Arial" w:hAnsi="Arial" w:cs="Arial"/>
          <w:bCs/>
          <w:i/>
          <w:iCs/>
          <w:color w:val="000000" w:themeColor="text1"/>
          <w:sz w:val="22"/>
          <w:szCs w:val="22"/>
        </w:rPr>
        <w:t>Investopedia</w:t>
      </w:r>
      <w:r w:rsidRPr="00BA5F6A">
        <w:rPr>
          <w:rFonts w:ascii="Arial" w:hAnsi="Arial" w:cs="Arial"/>
          <w:bCs/>
          <w:color w:val="000000" w:themeColor="text1"/>
          <w:sz w:val="22"/>
          <w:szCs w:val="22"/>
        </w:rPr>
        <w:t>?</w:t>
      </w:r>
    </w:p>
    <w:p w14:paraId="4E510D62"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a diversified portfolio of small, large</w:t>
      </w:r>
      <w:r>
        <w:rPr>
          <w:rFonts w:ascii="Arial" w:hAnsi="Arial" w:cs="Arial"/>
          <w:bCs/>
          <w:color w:val="000000" w:themeColor="text1"/>
          <w:sz w:val="22"/>
          <w:szCs w:val="22"/>
        </w:rPr>
        <w:t xml:space="preserve"> </w:t>
      </w:r>
      <w:r w:rsidRPr="00BA5F6A">
        <w:rPr>
          <w:rFonts w:ascii="Arial" w:hAnsi="Arial" w:cs="Arial"/>
          <w:bCs/>
          <w:color w:val="000000" w:themeColor="text1"/>
          <w:sz w:val="22"/>
          <w:szCs w:val="22"/>
        </w:rPr>
        <w:t>and mid-sized company stocks</w:t>
      </w:r>
    </w:p>
    <w:p w14:paraId="167B576C"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the stock of a large company</w:t>
      </w:r>
    </w:p>
    <w:p w14:paraId="14D59684"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a portfolio of technology company stocks</w:t>
      </w:r>
    </w:p>
    <w:p w14:paraId="60FBF5FB"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a portfolio of small company stocks</w:t>
      </w:r>
    </w:p>
    <w:p w14:paraId="3D188895" w14:textId="77777777" w:rsidR="00C629B4" w:rsidRPr="001874A3" w:rsidRDefault="00C629B4" w:rsidP="00C629B4">
      <w:pPr>
        <w:pStyle w:val="ListParagraph"/>
        <w:tabs>
          <w:tab w:val="left" w:pos="8550"/>
        </w:tabs>
        <w:ind w:left="1440"/>
        <w:rPr>
          <w:rFonts w:ascii="Arial" w:hAnsi="Arial" w:cs="Arial"/>
          <w:bCs/>
          <w:color w:val="000000" w:themeColor="text1"/>
          <w:sz w:val="20"/>
          <w:szCs w:val="20"/>
        </w:rPr>
      </w:pPr>
    </w:p>
    <w:p w14:paraId="713C9345" w14:textId="74A6434B"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If you put $100 in an account that earned 5 percent interest each year, how much would the account be worth after 10 years?</w:t>
      </w:r>
    </w:p>
    <w:p w14:paraId="3BEAA16C"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$105</w:t>
      </w:r>
    </w:p>
    <w:p w14:paraId="333F80AE"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$150</w:t>
      </w:r>
    </w:p>
    <w:p w14:paraId="263861E3"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$160</w:t>
      </w:r>
    </w:p>
    <w:p w14:paraId="5C1010AA"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$180</w:t>
      </w:r>
    </w:p>
    <w:p w14:paraId="6F5C235F" w14:textId="77777777" w:rsidR="00C629B4" w:rsidRPr="001874A3" w:rsidRDefault="00C629B4" w:rsidP="00C629B4">
      <w:pPr>
        <w:pStyle w:val="ListParagraph"/>
        <w:tabs>
          <w:tab w:val="left" w:pos="8550"/>
        </w:tabs>
        <w:ind w:left="1440"/>
        <w:rPr>
          <w:rFonts w:ascii="Arial" w:hAnsi="Arial" w:cs="Arial"/>
          <w:bCs/>
          <w:color w:val="000000" w:themeColor="text1"/>
          <w:sz w:val="20"/>
          <w:szCs w:val="20"/>
        </w:rPr>
      </w:pPr>
    </w:p>
    <w:p w14:paraId="3CC5D6A4" w14:textId="5ECDD397"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When shopping for chicken noodle soup, which of the following is the best value?</w:t>
      </w:r>
    </w:p>
    <w:p w14:paraId="0CC83769"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store’s brand</w:t>
      </w:r>
    </w:p>
    <w:p w14:paraId="780264D9"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can with the highest discount</w:t>
      </w:r>
    </w:p>
    <w:p w14:paraId="0EE3D165"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can with the lowest price per ounce</w:t>
      </w:r>
    </w:p>
    <w:p w14:paraId="54E4CD35"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can with the lowest price in the size you need</w:t>
      </w:r>
    </w:p>
    <w:p w14:paraId="68A148F6" w14:textId="77777777" w:rsidR="00C629B4" w:rsidRPr="001874A3" w:rsidRDefault="00C629B4" w:rsidP="00C629B4">
      <w:pPr>
        <w:tabs>
          <w:tab w:val="left" w:pos="8550"/>
        </w:tabs>
        <w:rPr>
          <w:rFonts w:ascii="Arial" w:hAnsi="Arial" w:cs="Arial"/>
          <w:bCs/>
          <w:color w:val="000000" w:themeColor="text1"/>
          <w:sz w:val="20"/>
          <w:szCs w:val="20"/>
        </w:rPr>
      </w:pPr>
    </w:p>
    <w:p w14:paraId="0E78F5FD" w14:textId="77777777"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You’ll find the answers below. When you have any financial or money questions, please get in touch.</w:t>
      </w:r>
    </w:p>
    <w:p w14:paraId="51819E9C" w14:textId="77777777" w:rsidR="00C629B4" w:rsidRPr="001874A3" w:rsidRDefault="00C629B4" w:rsidP="00C629B4">
      <w:pPr>
        <w:tabs>
          <w:tab w:val="left" w:pos="8550"/>
        </w:tabs>
        <w:rPr>
          <w:rFonts w:ascii="Arial" w:hAnsi="Arial" w:cs="Arial"/>
          <w:bCs/>
          <w:color w:val="000000" w:themeColor="text1"/>
          <w:sz w:val="20"/>
          <w:szCs w:val="20"/>
        </w:rPr>
      </w:pPr>
    </w:p>
    <w:p w14:paraId="74AEAD3F" w14:textId="77777777" w:rsidR="00C629B4" w:rsidRPr="003D6E31" w:rsidRDefault="00C629B4" w:rsidP="00C629B4">
      <w:pPr>
        <w:tabs>
          <w:tab w:val="left" w:pos="-3150"/>
          <w:tab w:val="left" w:pos="8550"/>
        </w:tabs>
        <w:rPr>
          <w:rFonts w:ascii="Arial" w:hAnsi="Arial" w:cs="Arial"/>
          <w:b/>
          <w:bCs/>
          <w:color w:val="0D304A"/>
          <w:sz w:val="28"/>
          <w:szCs w:val="28"/>
        </w:rPr>
      </w:pPr>
      <w:r w:rsidRPr="003D6E31">
        <w:rPr>
          <w:rFonts w:ascii="Arial" w:hAnsi="Arial" w:cs="Arial"/>
          <w:b/>
          <w:bCs/>
          <w:color w:val="0D304A"/>
          <w:sz w:val="28"/>
          <w:szCs w:val="28"/>
        </w:rPr>
        <w:t xml:space="preserve">Weekly Focus – Think About It </w:t>
      </w:r>
    </w:p>
    <w:p w14:paraId="6C393D46" w14:textId="77777777" w:rsidR="00C629B4" w:rsidRPr="00BA5F6A" w:rsidRDefault="00C629B4" w:rsidP="00C629B4">
      <w:pPr>
        <w:rPr>
          <w:rFonts w:ascii="Arial" w:hAnsi="Arial" w:cs="Arial"/>
          <w:color w:val="000000" w:themeColor="text1"/>
          <w:sz w:val="22"/>
          <w:szCs w:val="22"/>
        </w:rPr>
      </w:pPr>
      <w:r w:rsidRPr="00BA5F6A">
        <w:rPr>
          <w:rFonts w:ascii="Arial" w:hAnsi="Arial" w:cs="Arial"/>
          <w:color w:val="000000" w:themeColor="text1"/>
          <w:sz w:val="22"/>
          <w:szCs w:val="22"/>
        </w:rPr>
        <w:t>“An investment in knowledge pays the best interest.”</w:t>
      </w:r>
    </w:p>
    <w:p w14:paraId="6AF09C24" w14:textId="11A4607F" w:rsidR="00C629B4" w:rsidRPr="00BA5F6A" w:rsidRDefault="00C629B4" w:rsidP="00C629B4">
      <w:pPr>
        <w:jc w:val="right"/>
        <w:rPr>
          <w:rFonts w:ascii="Arial" w:hAnsi="Arial" w:cs="Arial"/>
          <w:i/>
          <w:iCs/>
          <w:color w:val="000000" w:themeColor="text1"/>
          <w:sz w:val="22"/>
          <w:szCs w:val="22"/>
        </w:rPr>
      </w:pPr>
      <w:r w:rsidRPr="00BA5F6A">
        <w:rPr>
          <w:rFonts w:ascii="Arial" w:hAnsi="Arial" w:cs="Arial"/>
          <w:i/>
          <w:iCs/>
          <w:color w:val="000000" w:themeColor="text1"/>
          <w:sz w:val="22"/>
          <w:szCs w:val="22"/>
        </w:rPr>
        <w:t xml:space="preserve"> </w:t>
      </w:r>
      <w:r>
        <w:rPr>
          <w:rFonts w:ascii="Arial" w:hAnsi="Arial" w:cs="Arial"/>
          <w:i/>
          <w:iCs/>
          <w:color w:val="000000" w:themeColor="text1"/>
          <w:sz w:val="22"/>
          <w:szCs w:val="22"/>
        </w:rPr>
        <w:t>—</w:t>
      </w:r>
      <w:r w:rsidRPr="00BA5F6A">
        <w:rPr>
          <w:rFonts w:ascii="Arial" w:hAnsi="Arial" w:cs="Arial"/>
          <w:i/>
          <w:iCs/>
          <w:color w:val="000000" w:themeColor="text1"/>
          <w:sz w:val="22"/>
          <w:szCs w:val="22"/>
        </w:rPr>
        <w:t>Benjamin Franklin, American statesman</w:t>
      </w:r>
    </w:p>
    <w:p w14:paraId="2BA2F8B5" w14:textId="77777777" w:rsidR="00C629B4" w:rsidRPr="001874A3" w:rsidRDefault="00C629B4" w:rsidP="00C629B4">
      <w:pPr>
        <w:ind w:right="-36"/>
        <w:rPr>
          <w:rFonts w:ascii="Arial" w:hAnsi="Arial" w:cs="Arial"/>
          <w:i/>
          <w:iCs/>
          <w:color w:val="000000" w:themeColor="text1"/>
          <w:sz w:val="20"/>
          <w:szCs w:val="20"/>
        </w:rPr>
      </w:pPr>
    </w:p>
    <w:p w14:paraId="262BF353" w14:textId="77777777" w:rsidR="00C629B4" w:rsidRPr="003D6E31" w:rsidRDefault="00C629B4" w:rsidP="00C629B4">
      <w:pPr>
        <w:pStyle w:val="ListParagraph"/>
        <w:numPr>
          <w:ilvl w:val="0"/>
          <w:numId w:val="28"/>
        </w:numPr>
        <w:ind w:left="360" w:right="-36"/>
        <w:rPr>
          <w:rFonts w:ascii="Arial" w:hAnsi="Arial" w:cs="Arial"/>
          <w:color w:val="000000"/>
          <w:sz w:val="22"/>
          <w:szCs w:val="22"/>
        </w:rPr>
      </w:pPr>
      <w:r w:rsidRPr="003D6E31">
        <w:rPr>
          <w:rFonts w:ascii="Arial" w:hAnsi="Arial" w:cs="Arial"/>
          <w:color w:val="000000"/>
          <w:sz w:val="22"/>
          <w:szCs w:val="22"/>
        </w:rPr>
        <w:t xml:space="preserve">A; </w:t>
      </w:r>
      <w:r>
        <w:rPr>
          <w:rFonts w:ascii="Arial" w:hAnsi="Arial" w:cs="Arial"/>
          <w:color w:val="000000"/>
          <w:sz w:val="22"/>
          <w:szCs w:val="22"/>
        </w:rPr>
        <w:t>(</w:t>
      </w:r>
      <w:r w:rsidRPr="003D6E31">
        <w:rPr>
          <w:rFonts w:ascii="Arial" w:hAnsi="Arial" w:cs="Arial"/>
          <w:color w:val="000000"/>
          <w:sz w:val="22"/>
          <w:szCs w:val="22"/>
        </w:rPr>
        <w:t xml:space="preserve">2) B; </w:t>
      </w:r>
      <w:r>
        <w:rPr>
          <w:rFonts w:ascii="Arial" w:hAnsi="Arial" w:cs="Arial"/>
          <w:color w:val="000000"/>
          <w:sz w:val="22"/>
          <w:szCs w:val="22"/>
        </w:rPr>
        <w:t>(</w:t>
      </w:r>
      <w:r w:rsidRPr="003D6E31">
        <w:rPr>
          <w:rFonts w:ascii="Arial" w:hAnsi="Arial" w:cs="Arial"/>
          <w:color w:val="000000"/>
          <w:sz w:val="22"/>
          <w:szCs w:val="22"/>
        </w:rPr>
        <w:t xml:space="preserve">3) C; </w:t>
      </w:r>
      <w:r>
        <w:rPr>
          <w:rFonts w:ascii="Arial" w:hAnsi="Arial" w:cs="Arial"/>
          <w:color w:val="000000"/>
          <w:sz w:val="22"/>
          <w:szCs w:val="22"/>
        </w:rPr>
        <w:t>(</w:t>
      </w:r>
      <w:r w:rsidRPr="003D6E31">
        <w:rPr>
          <w:rFonts w:ascii="Arial" w:hAnsi="Arial" w:cs="Arial"/>
          <w:color w:val="000000"/>
          <w:sz w:val="22"/>
          <w:szCs w:val="22"/>
        </w:rPr>
        <w:t>4) C</w:t>
      </w:r>
    </w:p>
    <w:p w14:paraId="7F227A22" w14:textId="77777777" w:rsidR="00C629B4" w:rsidRPr="00BA5F6A" w:rsidRDefault="00C629B4" w:rsidP="00C629B4">
      <w:pPr>
        <w:ind w:right="-36"/>
        <w:rPr>
          <w:rFonts w:ascii="Arial" w:hAnsi="Arial" w:cs="Arial"/>
          <w:color w:val="000000"/>
          <w:sz w:val="22"/>
          <w:szCs w:val="22"/>
        </w:rPr>
      </w:pPr>
    </w:p>
    <w:p w14:paraId="68B47963" w14:textId="77777777" w:rsidR="00C629B4" w:rsidRPr="00BA5F6A" w:rsidRDefault="00C629B4" w:rsidP="00C629B4">
      <w:pPr>
        <w:ind w:right="-36"/>
        <w:rPr>
          <w:rFonts w:ascii="Arial" w:hAnsi="Arial" w:cs="Arial"/>
          <w:color w:val="000000"/>
          <w:sz w:val="22"/>
          <w:szCs w:val="22"/>
        </w:rPr>
      </w:pPr>
    </w:p>
    <w:p w14:paraId="35C69071" w14:textId="77777777" w:rsidR="001874A3" w:rsidRDefault="00C629B4" w:rsidP="00C629B4">
      <w:pPr>
        <w:ind w:right="-36"/>
        <w:rPr>
          <w:rFonts w:ascii="Arial" w:hAnsi="Arial" w:cs="Arial"/>
          <w:color w:val="000000"/>
          <w:sz w:val="22"/>
          <w:szCs w:val="22"/>
        </w:rPr>
      </w:pPr>
      <w:r w:rsidRPr="00BA5F6A">
        <w:rPr>
          <w:rFonts w:ascii="Arial" w:hAnsi="Arial" w:cs="Arial"/>
          <w:color w:val="000000"/>
          <w:sz w:val="22"/>
          <w:szCs w:val="22"/>
        </w:rPr>
        <w:t>Best regards,</w:t>
      </w:r>
    </w:p>
    <w:p w14:paraId="1DA0197E" w14:textId="77777777" w:rsidR="001874A3" w:rsidRPr="000E169B" w:rsidRDefault="001874A3" w:rsidP="001874A3">
      <w:pPr>
        <w:ind w:right="-36"/>
        <w:rPr>
          <w:rFonts w:ascii="Arial" w:hAnsi="Arial" w:cs="Arial"/>
          <w:color w:val="000000"/>
          <w:sz w:val="18"/>
          <w:szCs w:val="18"/>
        </w:rPr>
      </w:pPr>
    </w:p>
    <w:p w14:paraId="21FEB378" w14:textId="77777777" w:rsidR="001874A3" w:rsidRDefault="001874A3" w:rsidP="001874A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337BB04" w14:textId="77777777" w:rsidR="001874A3" w:rsidRDefault="001874A3" w:rsidP="001874A3">
      <w:pPr>
        <w:pStyle w:val="NormalWeb"/>
        <w:spacing w:before="0" w:beforeAutospacing="0" w:after="0" w:afterAutospacing="0"/>
        <w:rPr>
          <w:rFonts w:ascii="Arial" w:hAnsi="Arial" w:cs="Arial"/>
          <w:sz w:val="22"/>
          <w:szCs w:val="22"/>
        </w:rPr>
      </w:pPr>
    </w:p>
    <w:p w14:paraId="4C0E59AD" w14:textId="77777777" w:rsidR="001874A3" w:rsidRPr="005513E4" w:rsidRDefault="001874A3" w:rsidP="001874A3">
      <w:pPr>
        <w:rPr>
          <w:rFonts w:ascii="Arial" w:hAnsi="Arial" w:cs="Arial"/>
          <w:sz w:val="22"/>
          <w:szCs w:val="22"/>
        </w:rPr>
      </w:pPr>
      <w:r w:rsidRPr="005513E4">
        <w:rPr>
          <w:rFonts w:ascii="Arial" w:hAnsi="Arial" w:cs="Arial"/>
          <w:sz w:val="22"/>
          <w:szCs w:val="22"/>
        </w:rPr>
        <w:t>Securities offered through Commonwealth Financial, Member FINRA/SIPC.</w:t>
      </w:r>
    </w:p>
    <w:p w14:paraId="355DDA23" w14:textId="77777777" w:rsidR="001874A3" w:rsidRDefault="001874A3" w:rsidP="00C629B4">
      <w:pPr>
        <w:ind w:right="-36"/>
        <w:rPr>
          <w:rFonts w:ascii="Arial" w:hAnsi="Arial" w:cs="Arial"/>
          <w:color w:val="000000"/>
          <w:sz w:val="18"/>
          <w:szCs w:val="18"/>
        </w:rPr>
      </w:pPr>
    </w:p>
    <w:p w14:paraId="5E7497CF" w14:textId="702422F4" w:rsidR="00C629B4" w:rsidRPr="001874A3" w:rsidRDefault="00C629B4" w:rsidP="00C629B4">
      <w:pPr>
        <w:ind w:right="-36"/>
        <w:rPr>
          <w:rFonts w:ascii="Arial" w:hAnsi="Arial" w:cs="Arial"/>
          <w:color w:val="000000"/>
          <w:sz w:val="22"/>
          <w:szCs w:val="22"/>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9F0D6A9"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6767F1E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9B802F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43565B41"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62F795D1"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F3B5E8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33A60E3A"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47C8EDB"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39811B7C"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908392B"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B85E749"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1B06ABFF"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A010C42"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454029C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498F7D0D" w14:textId="77777777" w:rsidR="00C629B4" w:rsidRPr="00BA5F6A" w:rsidRDefault="00C629B4" w:rsidP="00C629B4">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20BD39AF"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165ABFE0"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327FAAED"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6CD0290"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61E83E8E"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25B4AB2C"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F178BCE"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FB7EA23" w14:textId="77777777" w:rsidR="00C629B4" w:rsidRPr="00B56857" w:rsidRDefault="00C629B4" w:rsidP="00C629B4">
      <w:pPr>
        <w:rPr>
          <w:rFonts w:ascii="Arial" w:hAnsi="Arial" w:cs="Arial"/>
          <w:color w:val="000000"/>
          <w:sz w:val="18"/>
          <w:szCs w:val="18"/>
        </w:rPr>
      </w:pPr>
    </w:p>
    <w:p w14:paraId="0D9E1251" w14:textId="77777777" w:rsidR="00C629B4" w:rsidRPr="00B56857" w:rsidRDefault="00C629B4" w:rsidP="00C629B4">
      <w:pPr>
        <w:widowControl w:val="0"/>
        <w:adjustRightInd w:val="0"/>
        <w:ind w:right="-36"/>
        <w:rPr>
          <w:rFonts w:ascii="Arial" w:hAnsi="Arial" w:cs="Arial"/>
          <w:sz w:val="22"/>
          <w:szCs w:val="22"/>
        </w:rPr>
      </w:pPr>
    </w:p>
    <w:p w14:paraId="0431597D" w14:textId="77777777" w:rsidR="00C629B4" w:rsidRPr="00BA5F6A" w:rsidRDefault="00C629B4" w:rsidP="00C629B4">
      <w:pPr>
        <w:widowControl w:val="0"/>
        <w:adjustRightInd w:val="0"/>
        <w:ind w:right="-36"/>
        <w:rPr>
          <w:rFonts w:ascii="Arial" w:hAnsi="Arial" w:cs="Arial"/>
          <w:sz w:val="18"/>
          <w:szCs w:val="18"/>
        </w:rPr>
      </w:pPr>
      <w:r w:rsidRPr="00BA5F6A">
        <w:rPr>
          <w:rFonts w:ascii="Arial" w:hAnsi="Arial" w:cs="Arial"/>
          <w:sz w:val="18"/>
          <w:szCs w:val="18"/>
        </w:rPr>
        <w:t>Sources:</w:t>
      </w:r>
    </w:p>
    <w:p w14:paraId="7442BC64" w14:textId="6A169FE2" w:rsidR="00C629B4" w:rsidRPr="00BA5F6A" w:rsidRDefault="001E2EAB" w:rsidP="00C629B4">
      <w:pPr>
        <w:widowControl w:val="0"/>
        <w:adjustRightInd w:val="0"/>
        <w:ind w:right="-36"/>
        <w:rPr>
          <w:rFonts w:ascii="Arial" w:hAnsi="Arial" w:cs="Arial"/>
          <w:sz w:val="18"/>
          <w:szCs w:val="18"/>
        </w:rPr>
      </w:pPr>
      <w:hyperlink r:id="rId5" w:history="1">
        <w:r w:rsidR="00C629B4" w:rsidRPr="00BA5F6A">
          <w:rPr>
            <w:rStyle w:val="Hyperlink"/>
            <w:rFonts w:ascii="Arial" w:hAnsi="Arial" w:cs="Arial"/>
            <w:sz w:val="18"/>
            <w:szCs w:val="18"/>
          </w:rPr>
          <w:t>https://fas.org/sgp/crs/row/RL33534.pdf</w:t>
        </w:r>
      </w:hyperlink>
    </w:p>
    <w:p w14:paraId="3F423A12" w14:textId="01008057" w:rsidR="00C629B4" w:rsidRPr="00BA5F6A" w:rsidRDefault="001E2EAB" w:rsidP="00C629B4">
      <w:pPr>
        <w:widowControl w:val="0"/>
        <w:adjustRightInd w:val="0"/>
        <w:ind w:right="-36"/>
        <w:rPr>
          <w:rFonts w:ascii="Arial" w:hAnsi="Arial" w:cs="Arial"/>
          <w:sz w:val="18"/>
          <w:szCs w:val="18"/>
        </w:rPr>
      </w:pPr>
      <w:hyperlink r:id="rId6" w:history="1">
        <w:r w:rsidR="00C629B4" w:rsidRPr="00BA5F6A">
          <w:rPr>
            <w:rStyle w:val="Hyperlink"/>
            <w:rFonts w:ascii="Arial" w:hAnsi="Arial" w:cs="Arial"/>
            <w:sz w:val="18"/>
            <w:szCs w:val="18"/>
          </w:rPr>
          <w:t>https://www.brookings.edu/wp-content/uploads/2020/10/FP_20201012_china_middle_class_kharas_dooley.pdf</w:t>
        </w:r>
      </w:hyperlink>
    </w:p>
    <w:p w14:paraId="6ABA9430" w14:textId="0B4837EA" w:rsidR="00C629B4" w:rsidRDefault="001E2EAB" w:rsidP="00C629B4">
      <w:pPr>
        <w:widowControl w:val="0"/>
        <w:adjustRightInd w:val="0"/>
        <w:ind w:right="-36"/>
        <w:rPr>
          <w:rFonts w:ascii="Arial" w:hAnsi="Arial" w:cs="Arial"/>
          <w:sz w:val="18"/>
          <w:szCs w:val="18"/>
        </w:rPr>
      </w:pPr>
      <w:hyperlink r:id="rId7" w:history="1">
        <w:r w:rsidR="00C629B4" w:rsidRPr="00174706">
          <w:rPr>
            <w:rStyle w:val="Hyperlink"/>
            <w:rFonts w:ascii="Arial" w:hAnsi="Arial" w:cs="Arial"/>
            <w:sz w:val="18"/>
            <w:szCs w:val="18"/>
          </w:rPr>
          <w:t>https://www.bloomberg.com/news/articles/2021-07-27/china-tech-crackdown-xi-charts-new-model-after-emulating-silicon-valley</w:t>
        </w:r>
      </w:hyperlink>
      <w:r w:rsidR="00C629B4">
        <w:rPr>
          <w:rFonts w:ascii="Arial" w:hAnsi="Arial" w:cs="Arial"/>
          <w:sz w:val="18"/>
          <w:szCs w:val="18"/>
        </w:rPr>
        <w:t xml:space="preserve"> (</w:t>
      </w:r>
      <w:r w:rsidR="00C629B4" w:rsidRPr="007D18E3">
        <w:rPr>
          <w:rFonts w:ascii="Arial" w:hAnsi="Arial" w:cs="Arial"/>
          <w:i/>
          <w:iCs/>
          <w:sz w:val="18"/>
          <w:szCs w:val="18"/>
        </w:rPr>
        <w:t xml:space="preserve">or go to </w:t>
      </w:r>
      <w:hyperlink r:id="rId8" w:history="1">
        <w:r w:rsidR="00C629B4" w:rsidRPr="00174706">
          <w:rPr>
            <w:rStyle w:val="Hyperlink"/>
            <w:rFonts w:ascii="Arial" w:hAnsi="Arial" w:cs="Arial"/>
            <w:sz w:val="18"/>
            <w:szCs w:val="18"/>
          </w:rPr>
          <w:t>https://resources.carsongroup.com/hubfs/WMC-Source/2021/08-02-21_Bloomberg_The%20China%20Model_3.pdf</w:t>
        </w:r>
      </w:hyperlink>
      <w:r w:rsidR="00C629B4">
        <w:rPr>
          <w:rFonts w:ascii="Arial" w:hAnsi="Arial" w:cs="Arial"/>
          <w:sz w:val="18"/>
          <w:szCs w:val="18"/>
        </w:rPr>
        <w:t xml:space="preserve">) </w:t>
      </w:r>
    </w:p>
    <w:p w14:paraId="12D3D280" w14:textId="6C95C939" w:rsidR="00C629B4" w:rsidRPr="00BA5F6A" w:rsidRDefault="001E2EAB" w:rsidP="00C629B4">
      <w:pPr>
        <w:widowControl w:val="0"/>
        <w:adjustRightInd w:val="0"/>
        <w:ind w:right="-36"/>
        <w:rPr>
          <w:rFonts w:ascii="Arial" w:hAnsi="Arial" w:cs="Arial"/>
          <w:sz w:val="18"/>
          <w:szCs w:val="18"/>
        </w:rPr>
      </w:pPr>
      <w:hyperlink r:id="rId9" w:history="1">
        <w:r w:rsidR="00C629B4" w:rsidRPr="00BA5F6A">
          <w:rPr>
            <w:rStyle w:val="Hyperlink"/>
            <w:rFonts w:ascii="Arial" w:hAnsi="Arial" w:cs="Arial"/>
            <w:sz w:val="18"/>
            <w:szCs w:val="18"/>
          </w:rPr>
          <w:t>https://www.wsj.com/articles/didi-global-considers-going-private-to-placate-china-and-compensate-investors-11627551071</w:t>
        </w:r>
      </w:hyperlink>
      <w:r w:rsidR="00C629B4">
        <w:rPr>
          <w:rStyle w:val="Hyperlink"/>
          <w:rFonts w:ascii="Arial" w:hAnsi="Arial" w:cs="Arial"/>
          <w:sz w:val="18"/>
          <w:szCs w:val="18"/>
        </w:rPr>
        <w:t xml:space="preserve"> </w:t>
      </w:r>
      <w:r w:rsidR="00C629B4" w:rsidRPr="007D18E3">
        <w:rPr>
          <w:rStyle w:val="Hyperlink"/>
          <w:rFonts w:ascii="Arial" w:hAnsi="Arial" w:cs="Arial"/>
          <w:color w:val="auto"/>
          <w:sz w:val="18"/>
          <w:szCs w:val="18"/>
          <w:u w:val="none"/>
        </w:rPr>
        <w:t>(</w:t>
      </w:r>
      <w:r w:rsidR="00C629B4" w:rsidRPr="007D18E3">
        <w:rPr>
          <w:rStyle w:val="Hyperlink"/>
          <w:rFonts w:ascii="Arial" w:hAnsi="Arial" w:cs="Arial"/>
          <w:i/>
          <w:iCs/>
          <w:color w:val="auto"/>
          <w:sz w:val="18"/>
          <w:szCs w:val="18"/>
          <w:u w:val="none"/>
        </w:rPr>
        <w:t>or go to</w:t>
      </w:r>
      <w:r w:rsidR="00C629B4">
        <w:rPr>
          <w:rStyle w:val="Hyperlink"/>
          <w:rFonts w:ascii="Arial" w:hAnsi="Arial" w:cs="Arial"/>
          <w:sz w:val="18"/>
          <w:szCs w:val="18"/>
        </w:rPr>
        <w:t xml:space="preserve"> </w:t>
      </w:r>
      <w:r w:rsidR="00C629B4" w:rsidRPr="007D18E3">
        <w:rPr>
          <w:rStyle w:val="Hyperlink"/>
          <w:rFonts w:ascii="Arial" w:hAnsi="Arial" w:cs="Arial"/>
          <w:sz w:val="18"/>
          <w:szCs w:val="18"/>
        </w:rPr>
        <w:t>https://resources.carsongroup.com/hubfs/WMC-Source/2021/08-02-21_Wall%20Street%20Journal_Didi%20Gloal%20Considers%20Going%20Private_4.pdf</w:t>
      </w:r>
      <w:r w:rsidR="00C629B4" w:rsidRPr="007D18E3">
        <w:rPr>
          <w:rStyle w:val="Hyperlink"/>
          <w:rFonts w:ascii="Arial" w:hAnsi="Arial" w:cs="Arial"/>
          <w:color w:val="auto"/>
          <w:sz w:val="18"/>
          <w:szCs w:val="18"/>
          <w:u w:val="none"/>
        </w:rPr>
        <w:t>)</w:t>
      </w:r>
    </w:p>
    <w:p w14:paraId="633F42E7" w14:textId="49558468" w:rsidR="00C629B4" w:rsidRDefault="001E2EAB" w:rsidP="00C629B4">
      <w:pPr>
        <w:widowControl w:val="0"/>
        <w:adjustRightInd w:val="0"/>
        <w:ind w:right="-36"/>
        <w:rPr>
          <w:rFonts w:ascii="Arial" w:hAnsi="Arial" w:cs="Arial"/>
          <w:sz w:val="18"/>
          <w:szCs w:val="18"/>
        </w:rPr>
      </w:pPr>
      <w:hyperlink r:id="rId10" w:history="1">
        <w:r w:rsidR="00C629B4" w:rsidRPr="00174706">
          <w:rPr>
            <w:rStyle w:val="Hyperlink"/>
            <w:rFonts w:ascii="Arial" w:hAnsi="Arial" w:cs="Arial"/>
            <w:sz w:val="18"/>
            <w:szCs w:val="18"/>
          </w:rPr>
          <w:t>https://www.barrons.com/articles/should-i-buy-china-stocks-51627647310</w:t>
        </w:r>
      </w:hyperlink>
      <w:r w:rsidR="00C629B4">
        <w:rPr>
          <w:rFonts w:ascii="Arial" w:hAnsi="Arial" w:cs="Arial"/>
          <w:sz w:val="18"/>
          <w:szCs w:val="18"/>
        </w:rPr>
        <w:t xml:space="preserve"> (</w:t>
      </w:r>
      <w:r w:rsidR="00C629B4" w:rsidRPr="007D18E3">
        <w:rPr>
          <w:rFonts w:ascii="Arial" w:hAnsi="Arial" w:cs="Arial"/>
          <w:i/>
          <w:iCs/>
          <w:sz w:val="18"/>
          <w:szCs w:val="18"/>
        </w:rPr>
        <w:t>or go to</w:t>
      </w:r>
      <w:r w:rsidR="00C629B4">
        <w:rPr>
          <w:rFonts w:ascii="Arial" w:hAnsi="Arial" w:cs="Arial"/>
          <w:sz w:val="18"/>
          <w:szCs w:val="18"/>
        </w:rPr>
        <w:t xml:space="preserve"> </w:t>
      </w:r>
      <w:hyperlink r:id="rId11" w:history="1">
        <w:r w:rsidR="00C629B4" w:rsidRPr="00174706">
          <w:rPr>
            <w:rStyle w:val="Hyperlink"/>
            <w:rFonts w:ascii="Arial" w:hAnsi="Arial" w:cs="Arial"/>
            <w:sz w:val="18"/>
            <w:szCs w:val="18"/>
          </w:rPr>
          <w:t>https://resources.carsongroup.com/hubfs/WMC-Source/2021/08-02-21_Barrons_Should%20I%20Buy%20Chinese%20Stocks_5.pdf</w:t>
        </w:r>
      </w:hyperlink>
      <w:r w:rsidR="00C629B4">
        <w:rPr>
          <w:rFonts w:ascii="Arial" w:hAnsi="Arial" w:cs="Arial"/>
          <w:sz w:val="18"/>
          <w:szCs w:val="18"/>
        </w:rPr>
        <w:t>)</w:t>
      </w:r>
    </w:p>
    <w:p w14:paraId="0CF67FEC" w14:textId="70C57334" w:rsidR="00C629B4" w:rsidRDefault="001E2EAB" w:rsidP="00C629B4">
      <w:pPr>
        <w:widowControl w:val="0"/>
        <w:adjustRightInd w:val="0"/>
        <w:ind w:right="-36"/>
        <w:rPr>
          <w:rFonts w:ascii="Arial" w:hAnsi="Arial" w:cs="Arial"/>
          <w:sz w:val="18"/>
          <w:szCs w:val="18"/>
        </w:rPr>
      </w:pPr>
      <w:hyperlink r:id="rId12" w:history="1">
        <w:r w:rsidR="00C629B4" w:rsidRPr="00174706">
          <w:rPr>
            <w:rStyle w:val="Hyperlink"/>
            <w:rFonts w:ascii="Arial" w:hAnsi="Arial" w:cs="Arial"/>
            <w:sz w:val="18"/>
            <w:szCs w:val="18"/>
          </w:rPr>
          <w:t>https://www.sec.gov/news/public-statement/gensler-2021-07-30</w:t>
        </w:r>
      </w:hyperlink>
    </w:p>
    <w:p w14:paraId="679638B4" w14:textId="61E18188" w:rsidR="00C629B4" w:rsidRDefault="001E2EAB" w:rsidP="00C629B4">
      <w:pPr>
        <w:widowControl w:val="0"/>
        <w:adjustRightInd w:val="0"/>
        <w:ind w:right="-36"/>
        <w:rPr>
          <w:rFonts w:ascii="Arial" w:hAnsi="Arial" w:cs="Arial"/>
          <w:sz w:val="18"/>
          <w:szCs w:val="18"/>
        </w:rPr>
      </w:pPr>
      <w:hyperlink r:id="rId13" w:history="1">
        <w:r w:rsidR="00C629B4" w:rsidRPr="00174706">
          <w:rPr>
            <w:rStyle w:val="Hyperlink"/>
            <w:rFonts w:ascii="Arial" w:hAnsi="Arial" w:cs="Arial"/>
            <w:sz w:val="18"/>
            <w:szCs w:val="18"/>
          </w:rPr>
          <w:t>https://www.barrons.com/market-data</w:t>
        </w:r>
      </w:hyperlink>
      <w:r w:rsidR="00C629B4">
        <w:rPr>
          <w:rFonts w:ascii="Arial" w:hAnsi="Arial" w:cs="Arial"/>
          <w:sz w:val="18"/>
          <w:szCs w:val="18"/>
        </w:rPr>
        <w:t xml:space="preserve"> (</w:t>
      </w:r>
      <w:r w:rsidR="00C629B4" w:rsidRPr="00D86C1E">
        <w:rPr>
          <w:rFonts w:ascii="Arial" w:hAnsi="Arial" w:cs="Arial"/>
          <w:i/>
          <w:iCs/>
          <w:sz w:val="18"/>
          <w:szCs w:val="18"/>
        </w:rPr>
        <w:t>or go to</w:t>
      </w:r>
      <w:r w:rsidR="00C629B4">
        <w:rPr>
          <w:rFonts w:ascii="Arial" w:hAnsi="Arial" w:cs="Arial"/>
          <w:sz w:val="18"/>
          <w:szCs w:val="18"/>
        </w:rPr>
        <w:t xml:space="preserve"> </w:t>
      </w:r>
      <w:hyperlink r:id="rId14" w:history="1">
        <w:r w:rsidR="00C629B4" w:rsidRPr="00174706">
          <w:rPr>
            <w:rStyle w:val="Hyperlink"/>
            <w:rFonts w:ascii="Arial" w:hAnsi="Arial" w:cs="Arial"/>
            <w:sz w:val="18"/>
            <w:szCs w:val="18"/>
          </w:rPr>
          <w:t>https://resources.carsongroup.com/hubfs/WMC-Source/2021/08-02-21_Barrons_Overview_7.pdf</w:t>
        </w:r>
      </w:hyperlink>
      <w:r w:rsidR="00C629B4">
        <w:rPr>
          <w:rFonts w:ascii="Arial" w:hAnsi="Arial" w:cs="Arial"/>
          <w:sz w:val="18"/>
          <w:szCs w:val="18"/>
        </w:rPr>
        <w:t xml:space="preserve">) </w:t>
      </w:r>
    </w:p>
    <w:p w14:paraId="090A4588" w14:textId="23333120" w:rsidR="00C629B4" w:rsidRDefault="001E2EAB" w:rsidP="00C629B4">
      <w:pPr>
        <w:widowControl w:val="0"/>
        <w:adjustRightInd w:val="0"/>
        <w:ind w:right="-36"/>
        <w:rPr>
          <w:rFonts w:ascii="Arial" w:hAnsi="Arial" w:cs="Arial"/>
          <w:sz w:val="18"/>
          <w:szCs w:val="18"/>
        </w:rPr>
      </w:pPr>
      <w:hyperlink r:id="rId15" w:history="1">
        <w:r w:rsidR="00C629B4" w:rsidRPr="00174706">
          <w:rPr>
            <w:rStyle w:val="Hyperlink"/>
            <w:rFonts w:ascii="Arial" w:hAnsi="Arial" w:cs="Arial"/>
            <w:sz w:val="18"/>
            <w:szCs w:val="18"/>
          </w:rPr>
          <w:t>https://www.barrons.com/articles/stocks-news-big-tech-dow-nasdaq-sp500-51627692565?refsec=the-trader</w:t>
        </w:r>
      </w:hyperlink>
      <w:r w:rsidR="00C629B4">
        <w:rPr>
          <w:rFonts w:ascii="Arial" w:hAnsi="Arial" w:cs="Arial"/>
          <w:sz w:val="18"/>
          <w:szCs w:val="18"/>
        </w:rPr>
        <w:t xml:space="preserve"> (</w:t>
      </w:r>
      <w:r w:rsidR="00C629B4" w:rsidRPr="00D86C1E">
        <w:rPr>
          <w:rFonts w:ascii="Arial" w:hAnsi="Arial" w:cs="Arial"/>
          <w:i/>
          <w:iCs/>
          <w:sz w:val="18"/>
          <w:szCs w:val="18"/>
        </w:rPr>
        <w:t>or go to</w:t>
      </w:r>
      <w:r w:rsidR="00C629B4">
        <w:rPr>
          <w:rFonts w:ascii="Arial" w:hAnsi="Arial" w:cs="Arial"/>
          <w:sz w:val="18"/>
          <w:szCs w:val="18"/>
        </w:rPr>
        <w:t xml:space="preserve"> </w:t>
      </w:r>
      <w:hyperlink r:id="rId16" w:history="1">
        <w:r w:rsidR="00C629B4" w:rsidRPr="00174706">
          <w:rPr>
            <w:rStyle w:val="Hyperlink"/>
            <w:rFonts w:ascii="Arial" w:hAnsi="Arial" w:cs="Arial"/>
            <w:sz w:val="18"/>
            <w:szCs w:val="18"/>
          </w:rPr>
          <w:t>https://resources.carsongroup.com/hubfs/WMC-Source/2021/08-02-21_Barrons_Stocks%20Are%20Sturdier_8.pdf</w:t>
        </w:r>
      </w:hyperlink>
      <w:r w:rsidR="00C629B4">
        <w:rPr>
          <w:rFonts w:ascii="Arial" w:hAnsi="Arial" w:cs="Arial"/>
          <w:sz w:val="18"/>
          <w:szCs w:val="18"/>
        </w:rPr>
        <w:t>)</w:t>
      </w:r>
    </w:p>
    <w:p w14:paraId="6A1A3AB6" w14:textId="7DF04F9E" w:rsidR="00C629B4" w:rsidRPr="00BA5F6A" w:rsidRDefault="001E2EAB" w:rsidP="00C629B4">
      <w:pPr>
        <w:widowControl w:val="0"/>
        <w:adjustRightInd w:val="0"/>
        <w:ind w:right="-36"/>
        <w:rPr>
          <w:rFonts w:ascii="Arial" w:hAnsi="Arial" w:cs="Arial"/>
          <w:sz w:val="18"/>
          <w:szCs w:val="18"/>
        </w:rPr>
      </w:pPr>
      <w:hyperlink r:id="rId17" w:history="1">
        <w:r w:rsidR="00C629B4" w:rsidRPr="00BA5F6A">
          <w:rPr>
            <w:rStyle w:val="Hyperlink"/>
            <w:rFonts w:ascii="Arial" w:hAnsi="Arial" w:cs="Arial"/>
            <w:sz w:val="18"/>
            <w:szCs w:val="18"/>
          </w:rPr>
          <w:t>https://www.treasury.gov/resource-center/data-chart-center/interest-rates/Pages/TextView.aspx?data=yield</w:t>
        </w:r>
      </w:hyperlink>
    </w:p>
    <w:p w14:paraId="0B4B3CD3" w14:textId="072B6D0B" w:rsidR="00C629B4" w:rsidRPr="00BA5F6A" w:rsidRDefault="001E2EAB" w:rsidP="00C629B4">
      <w:pPr>
        <w:widowControl w:val="0"/>
        <w:adjustRightInd w:val="0"/>
        <w:ind w:right="-36"/>
        <w:rPr>
          <w:rFonts w:ascii="Arial" w:hAnsi="Arial" w:cs="Arial"/>
          <w:sz w:val="18"/>
          <w:szCs w:val="18"/>
        </w:rPr>
      </w:pPr>
      <w:hyperlink r:id="rId18" w:history="1">
        <w:r w:rsidR="00C629B4" w:rsidRPr="00BA5F6A">
          <w:rPr>
            <w:rStyle w:val="Hyperlink"/>
            <w:rFonts w:ascii="Arial" w:hAnsi="Arial" w:cs="Arial"/>
            <w:sz w:val="18"/>
            <w:szCs w:val="18"/>
          </w:rPr>
          <w:t>https://www.experian.com/blogs/ask-experian/credit-education/score-basics/what-affects-your-credit-scores/</w:t>
        </w:r>
      </w:hyperlink>
    </w:p>
    <w:p w14:paraId="606922EC" w14:textId="2802F03A" w:rsidR="00C629B4" w:rsidRDefault="001E2EAB" w:rsidP="00C629B4">
      <w:pPr>
        <w:widowControl w:val="0"/>
        <w:adjustRightInd w:val="0"/>
        <w:ind w:right="-36"/>
        <w:rPr>
          <w:rFonts w:ascii="Arial" w:hAnsi="Arial" w:cs="Arial"/>
          <w:sz w:val="18"/>
          <w:szCs w:val="18"/>
        </w:rPr>
      </w:pPr>
      <w:hyperlink r:id="rId19" w:history="1">
        <w:r w:rsidR="00C629B4" w:rsidRPr="00174706">
          <w:rPr>
            <w:rStyle w:val="Hyperlink"/>
            <w:rFonts w:ascii="Arial" w:hAnsi="Arial" w:cs="Arial"/>
            <w:sz w:val="18"/>
            <w:szCs w:val="18"/>
          </w:rPr>
          <w:t>https://www.investopedia.com/terms/r/risk.asp</w:t>
        </w:r>
      </w:hyperlink>
    </w:p>
    <w:p w14:paraId="3C6DA162" w14:textId="13C6A183" w:rsidR="00C629B4" w:rsidRPr="00BA5F6A" w:rsidRDefault="001E2EAB" w:rsidP="00C629B4">
      <w:pPr>
        <w:widowControl w:val="0"/>
        <w:adjustRightInd w:val="0"/>
        <w:ind w:right="-36"/>
        <w:rPr>
          <w:rFonts w:ascii="Arial" w:hAnsi="Arial" w:cs="Arial"/>
          <w:sz w:val="18"/>
          <w:szCs w:val="18"/>
        </w:rPr>
      </w:pPr>
      <w:hyperlink r:id="rId20" w:history="1">
        <w:r w:rsidR="00C629B4" w:rsidRPr="00BA5F6A">
          <w:rPr>
            <w:rStyle w:val="Hyperlink"/>
            <w:rFonts w:ascii="Arial" w:hAnsi="Arial" w:cs="Arial"/>
            <w:sz w:val="18"/>
            <w:szCs w:val="18"/>
          </w:rPr>
          <w:t>http://www.moneychimp.com/calculator/compound_interest_calculator.htm</w:t>
        </w:r>
      </w:hyperlink>
    </w:p>
    <w:p w14:paraId="54D50AC9" w14:textId="462EDA28" w:rsidR="00C629B4" w:rsidRPr="00BA5F6A" w:rsidRDefault="001E2EAB" w:rsidP="00C629B4">
      <w:pPr>
        <w:widowControl w:val="0"/>
        <w:adjustRightInd w:val="0"/>
        <w:ind w:right="-36"/>
        <w:rPr>
          <w:rFonts w:ascii="Arial" w:hAnsi="Arial" w:cs="Arial"/>
          <w:sz w:val="18"/>
          <w:szCs w:val="18"/>
        </w:rPr>
      </w:pPr>
      <w:hyperlink r:id="rId21" w:history="1">
        <w:r w:rsidR="00C629B4" w:rsidRPr="00BA5F6A">
          <w:rPr>
            <w:rStyle w:val="Hyperlink"/>
            <w:rFonts w:ascii="Arial" w:hAnsi="Arial" w:cs="Arial"/>
            <w:sz w:val="18"/>
            <w:szCs w:val="18"/>
          </w:rPr>
          <w:t>https://reallifegoodfood.umn.edu/eat/shop-smart/unit-pricing</w:t>
        </w:r>
      </w:hyperlink>
    </w:p>
    <w:p w14:paraId="0C0BA73A" w14:textId="0E7419E2" w:rsidR="00C629B4" w:rsidRDefault="001E2EAB" w:rsidP="00C629B4">
      <w:pPr>
        <w:widowControl w:val="0"/>
        <w:adjustRightInd w:val="0"/>
        <w:ind w:right="-36"/>
        <w:rPr>
          <w:rFonts w:ascii="Arial" w:hAnsi="Arial" w:cs="Arial"/>
          <w:sz w:val="18"/>
          <w:szCs w:val="18"/>
        </w:rPr>
      </w:pPr>
      <w:hyperlink r:id="rId22" w:history="1">
        <w:r w:rsidR="00C629B4" w:rsidRPr="00174706">
          <w:rPr>
            <w:rStyle w:val="Hyperlink"/>
            <w:rFonts w:ascii="Arial" w:hAnsi="Arial" w:cs="Arial"/>
            <w:sz w:val="18"/>
            <w:szCs w:val="18"/>
          </w:rPr>
          <w:t>https://www.brainyquote.com/quotes/benjamin_franklin_141119</w:t>
        </w:r>
      </w:hyperlink>
    </w:p>
    <w:p w14:paraId="361B0642" w14:textId="77777777" w:rsidR="00C629B4" w:rsidRPr="00B56857" w:rsidRDefault="00C629B4" w:rsidP="00C629B4">
      <w:pPr>
        <w:widowControl w:val="0"/>
        <w:adjustRightInd w:val="0"/>
        <w:ind w:right="-36"/>
        <w:rPr>
          <w:rFonts w:ascii="Arial" w:hAnsi="Arial" w:cs="Arial"/>
        </w:rPr>
      </w:pPr>
    </w:p>
    <w:p w14:paraId="45CBCF91" w14:textId="77777777" w:rsidR="00C629B4" w:rsidRPr="00723A25" w:rsidRDefault="00C629B4" w:rsidP="00C629B4">
      <w:pPr>
        <w:tabs>
          <w:tab w:val="left" w:pos="8550"/>
        </w:tabs>
        <w:rPr>
          <w:rStyle w:val="Hyperlink"/>
          <w:rFonts w:ascii="Arial" w:hAnsi="Arial" w:cs="Arial"/>
          <w:sz w:val="18"/>
          <w:szCs w:val="18"/>
        </w:rPr>
      </w:pPr>
    </w:p>
    <w:p w14:paraId="66C2295B" w14:textId="77777777" w:rsidR="00441CE6" w:rsidRPr="0036086B" w:rsidRDefault="00441CE6" w:rsidP="00C629B4">
      <w:pPr>
        <w:tabs>
          <w:tab w:val="left" w:pos="8550"/>
        </w:tabs>
        <w:rPr>
          <w:rFonts w:ascii="Arial" w:hAnsi="Arial" w:cs="Arial"/>
          <w:sz w:val="18"/>
          <w:szCs w:val="18"/>
        </w:rPr>
      </w:pPr>
    </w:p>
    <w:sectPr w:rsidR="00441CE6" w:rsidRPr="0036086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6"/>
  </w:num>
  <w:num w:numId="12">
    <w:abstractNumId w:val="23"/>
  </w:num>
  <w:num w:numId="13">
    <w:abstractNumId w:val="7"/>
  </w:num>
  <w:num w:numId="14">
    <w:abstractNumId w:val="22"/>
  </w:num>
  <w:num w:numId="15">
    <w:abstractNumId w:val="27"/>
  </w:num>
  <w:num w:numId="16">
    <w:abstractNumId w:val="18"/>
  </w:num>
  <w:num w:numId="17">
    <w:abstractNumId w:val="13"/>
  </w:num>
  <w:num w:numId="18">
    <w:abstractNumId w:val="0"/>
  </w:num>
  <w:num w:numId="19">
    <w:abstractNumId w:val="8"/>
  </w:num>
  <w:num w:numId="20">
    <w:abstractNumId w:val="25"/>
  </w:num>
  <w:num w:numId="21">
    <w:abstractNumId w:val="10"/>
  </w:num>
  <w:num w:numId="22">
    <w:abstractNumId w:val="3"/>
  </w:num>
  <w:num w:numId="23">
    <w:abstractNumId w:val="20"/>
  </w:num>
  <w:num w:numId="24">
    <w:abstractNumId w:val="14"/>
  </w:num>
  <w:num w:numId="25">
    <w:abstractNumId w:val="19"/>
  </w:num>
  <w:num w:numId="26">
    <w:abstractNumId w:val="17"/>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874A3"/>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3F22"/>
    <w:rsid w:val="008A7CD8"/>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1874A3"/>
    <w:rPr>
      <w:rFonts w:ascii="Times New Roman" w:eastAsia="Times New Roman" w:hAnsi="Times New Roman" w:cs="Times New Roman"/>
    </w:rPr>
  </w:style>
  <w:style w:type="paragraph" w:styleId="NormalWeb">
    <w:name w:val="Normal (Web)"/>
    <w:basedOn w:val="Normal"/>
    <w:link w:val="NormalWebChar"/>
    <w:semiHidden/>
    <w:unhideWhenUsed/>
    <w:rsid w:val="001874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8-02-21_Bloomberg_The%20China%20Model_3.pdf" TargetMode="External"/><Relationship Id="rId13" Type="http://schemas.openxmlformats.org/officeDocument/2006/relationships/hyperlink" Target="https://www.barrons.com/market-data" TargetMode="External"/><Relationship Id="rId18" Type="http://schemas.openxmlformats.org/officeDocument/2006/relationships/hyperlink" Target="https://www.experian.com/blogs/ask-experian/credit-education/score-basics/what-affects-your-credit-scores/" TargetMode="External"/><Relationship Id="rId3" Type="http://schemas.openxmlformats.org/officeDocument/2006/relationships/settings" Target="settings.xml"/><Relationship Id="rId21" Type="http://schemas.openxmlformats.org/officeDocument/2006/relationships/hyperlink" Target="https://reallifegoodfood.umn.edu/eat/shop-smart/unit-pricing" TargetMode="External"/><Relationship Id="rId7" Type="http://schemas.openxmlformats.org/officeDocument/2006/relationships/hyperlink" Target="https://www.bloomberg.com/news/articles/2021-07-27/china-tech-crackdown-xi-charts-new-model-after-emulating-silicon-valley" TargetMode="External"/><Relationship Id="rId12" Type="http://schemas.openxmlformats.org/officeDocument/2006/relationships/hyperlink" Target="https://www.sec.gov/news/public-statement/gensler-2021-07-30" TargetMode="External"/><Relationship Id="rId17" Type="http://schemas.openxmlformats.org/officeDocument/2006/relationships/hyperlink" Target="https://www.treasury.gov/resource-center/data-chart-center/interest-rates/Pages/TextView.aspx?data=yield" TargetMode="External"/><Relationship Id="rId2" Type="http://schemas.openxmlformats.org/officeDocument/2006/relationships/styles" Target="styles.xml"/><Relationship Id="rId16" Type="http://schemas.openxmlformats.org/officeDocument/2006/relationships/hyperlink" Target="https://resources.carsongroup.com/hubfs/WMC-Source/2021/08-02-21_Barrons_Stocks%20Are%20Sturdier_8.pdf" TargetMode="External"/><Relationship Id="rId20" Type="http://schemas.openxmlformats.org/officeDocument/2006/relationships/hyperlink" Target="http://www.moneychimp.com/calculator/compound_interest_calculator.htm" TargetMode="External"/><Relationship Id="rId1" Type="http://schemas.openxmlformats.org/officeDocument/2006/relationships/numbering" Target="numbering.xml"/><Relationship Id="rId6" Type="http://schemas.openxmlformats.org/officeDocument/2006/relationships/hyperlink" Target="https://www.brookings.edu/wp-content/uploads/2020/10/FP_20201012_china_middle_class_kharas_dooley.pdf" TargetMode="External"/><Relationship Id="rId11" Type="http://schemas.openxmlformats.org/officeDocument/2006/relationships/hyperlink" Target="https://resources.carsongroup.com/hubfs/WMC-Source/2021/08-02-21_Barrons_Should%20I%20Buy%20Chinese%20Stocks_5.pdf" TargetMode="External"/><Relationship Id="rId24" Type="http://schemas.openxmlformats.org/officeDocument/2006/relationships/theme" Target="theme/theme1.xml"/><Relationship Id="rId5" Type="http://schemas.openxmlformats.org/officeDocument/2006/relationships/hyperlink" Target="https://fas.org/sgp/crs/row/RL33534.pdf" TargetMode="External"/><Relationship Id="rId15" Type="http://schemas.openxmlformats.org/officeDocument/2006/relationships/hyperlink" Target="https://www.barrons.com/articles/stocks-news-big-tech-dow-nasdaq-sp500-51627692565?refsec=the-trader" TargetMode="External"/><Relationship Id="rId23" Type="http://schemas.openxmlformats.org/officeDocument/2006/relationships/fontTable" Target="fontTable.xml"/><Relationship Id="rId10" Type="http://schemas.openxmlformats.org/officeDocument/2006/relationships/hyperlink" Target="https://www.barrons.com/articles/should-i-buy-china-stocks-51627647310" TargetMode="External"/><Relationship Id="rId19" Type="http://schemas.openxmlformats.org/officeDocument/2006/relationships/hyperlink" Target="https://www.investopedia.com/terms/r/risk.asp" TargetMode="External"/><Relationship Id="rId4" Type="http://schemas.openxmlformats.org/officeDocument/2006/relationships/webSettings" Target="webSettings.xml"/><Relationship Id="rId9" Type="http://schemas.openxmlformats.org/officeDocument/2006/relationships/hyperlink" Target="https://www.wsj.com/articles/didi-global-considers-going-private-to-placate-china-and-compensate-investors-11627551071" TargetMode="External"/><Relationship Id="rId14" Type="http://schemas.openxmlformats.org/officeDocument/2006/relationships/hyperlink" Target="https://resources.carsongroup.com/hubfs/WMC-Source/2021/08-02-21_Barrons_Overview_7.pdf" TargetMode="External"/><Relationship Id="rId22" Type="http://schemas.openxmlformats.org/officeDocument/2006/relationships/hyperlink" Target="https://www.brainyquote.com/quotes/benjamin_franklin_14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2021-08-31T18:13:00Z</dcterms:created>
  <dcterms:modified xsi:type="dcterms:W3CDTF">2021-08-31T18:13:00Z</dcterms:modified>
</cp:coreProperties>
</file>