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C199" w14:textId="77777777" w:rsidR="00CF6FF0" w:rsidRDefault="00CF6FF0" w:rsidP="00CF6FF0">
      <w:pPr>
        <w:tabs>
          <w:tab w:val="left" w:pos="8550"/>
        </w:tabs>
        <w:jc w:val="center"/>
        <w:rPr>
          <w:rFonts w:ascii="Arial" w:hAnsi="Arial" w:cs="Arial"/>
          <w:b/>
          <w:bCs/>
          <w:color w:val="0D304A"/>
          <w:sz w:val="32"/>
          <w:szCs w:val="32"/>
        </w:rPr>
      </w:pPr>
    </w:p>
    <w:p w14:paraId="08E5CA0D" w14:textId="77777777" w:rsidR="00CF6FF0" w:rsidRPr="0036086B" w:rsidRDefault="00CF6FF0" w:rsidP="00CF6FF0">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285026D" w14:textId="2BE4A6C9" w:rsidR="00CF6FF0" w:rsidRPr="0036086B" w:rsidRDefault="00CF6FF0" w:rsidP="00CF6FF0">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August </w:t>
      </w:r>
      <w:r w:rsidR="002024BD">
        <w:rPr>
          <w:rFonts w:ascii="Arial" w:hAnsi="Arial" w:cs="Arial"/>
          <w:b/>
          <w:bCs/>
          <w:color w:val="0D304A"/>
          <w:sz w:val="32"/>
          <w:szCs w:val="32"/>
        </w:rPr>
        <w:t>30</w:t>
      </w:r>
      <w:r w:rsidRPr="0036086B">
        <w:rPr>
          <w:rFonts w:ascii="Arial" w:hAnsi="Arial" w:cs="Arial"/>
          <w:b/>
          <w:bCs/>
          <w:color w:val="0D304A"/>
          <w:sz w:val="32"/>
          <w:szCs w:val="32"/>
        </w:rPr>
        <w:t>, 2021</w:t>
      </w:r>
    </w:p>
    <w:p w14:paraId="73BB0828" w14:textId="77777777" w:rsidR="00CF6FF0" w:rsidRPr="0036086B" w:rsidRDefault="00CF6FF0" w:rsidP="00CF6FF0">
      <w:pPr>
        <w:tabs>
          <w:tab w:val="left" w:pos="8550"/>
        </w:tabs>
        <w:jc w:val="center"/>
        <w:rPr>
          <w:rFonts w:ascii="Arial" w:hAnsi="Arial" w:cs="Arial"/>
          <w:b/>
          <w:bCs/>
          <w:color w:val="639D3F"/>
          <w:sz w:val="32"/>
          <w:szCs w:val="32"/>
        </w:rPr>
      </w:pPr>
    </w:p>
    <w:p w14:paraId="2B4DDDE6" w14:textId="77777777" w:rsidR="00454452" w:rsidRPr="0036086B" w:rsidRDefault="00454452" w:rsidP="00454452">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5468F87" w14:textId="77777777" w:rsidR="00454452" w:rsidRDefault="00454452" w:rsidP="00454452">
      <w:pPr>
        <w:tabs>
          <w:tab w:val="left" w:pos="8550"/>
        </w:tabs>
        <w:rPr>
          <w:rFonts w:ascii="Arial" w:hAnsi="Arial" w:cs="Arial"/>
          <w:bCs/>
          <w:color w:val="000000" w:themeColor="text1"/>
        </w:rPr>
      </w:pPr>
    </w:p>
    <w:p w14:paraId="5EFD191D" w14:textId="3E2F736E" w:rsidR="00454452" w:rsidRDefault="00454452" w:rsidP="00454452">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“Raise your words, not your voice. </w:t>
      </w:r>
      <w:r w:rsidRPr="007908BA">
        <w:rPr>
          <w:rFonts w:ascii="Arial" w:hAnsi="Arial" w:cs="Arial"/>
          <w:bCs/>
          <w:color w:val="000000" w:themeColor="text1"/>
          <w:sz w:val="22"/>
          <w:szCs w:val="22"/>
        </w:rPr>
        <w:t>It is rain that grows flowers, not thunder</w:t>
      </w:r>
      <w:r>
        <w:rPr>
          <w:rFonts w:ascii="Arial" w:hAnsi="Arial" w:cs="Arial"/>
          <w:bCs/>
          <w:color w:val="000000" w:themeColor="text1"/>
          <w:sz w:val="22"/>
          <w:szCs w:val="22"/>
        </w:rPr>
        <w:t>,” advised the Persian poet Rumi.</w:t>
      </w:r>
    </w:p>
    <w:p w14:paraId="2EB95D08" w14:textId="77777777" w:rsidR="00454452" w:rsidRDefault="00454452" w:rsidP="00454452">
      <w:pPr>
        <w:tabs>
          <w:tab w:val="left" w:pos="360"/>
        </w:tabs>
        <w:rPr>
          <w:rFonts w:ascii="Arial" w:hAnsi="Arial" w:cs="Arial"/>
          <w:bCs/>
          <w:color w:val="000000" w:themeColor="text1"/>
          <w:sz w:val="22"/>
          <w:szCs w:val="22"/>
        </w:rPr>
      </w:pPr>
    </w:p>
    <w:p w14:paraId="1832BA2D" w14:textId="3BA6964A" w:rsidR="00454452" w:rsidRDefault="00454452" w:rsidP="00454452">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Last week, Federal Reserve (Fed) Chair Jerome Powell’s words helped grow the week’s equity market returns. In his speech at the </w:t>
      </w:r>
      <w:r w:rsidRPr="001E327F">
        <w:rPr>
          <w:rFonts w:ascii="Arial" w:hAnsi="Arial" w:cs="Arial"/>
          <w:bCs/>
          <w:color w:val="000000" w:themeColor="text1"/>
          <w:sz w:val="22"/>
          <w:szCs w:val="22"/>
        </w:rPr>
        <w:t>Economic Policy Symposium</w:t>
      </w:r>
      <w:r>
        <w:rPr>
          <w:rFonts w:ascii="Arial" w:hAnsi="Arial" w:cs="Arial"/>
          <w:bCs/>
          <w:color w:val="000000" w:themeColor="text1"/>
          <w:sz w:val="22"/>
          <w:szCs w:val="22"/>
        </w:rPr>
        <w:t xml:space="preserve"> in Jackson Hole, Wyoming, Powell confirmed that the United States economy had made substantial progress toward the Fed’s maximum employment and price stability goals. Consequently, the Fed is likely to slow and eventually stop the bond purchases that have been ensuring smooth market functioning during the pandemic. </w:t>
      </w:r>
    </w:p>
    <w:p w14:paraId="6D1D01A6" w14:textId="77777777" w:rsidR="00454452" w:rsidRDefault="00454452" w:rsidP="00454452">
      <w:pPr>
        <w:tabs>
          <w:tab w:val="left" w:pos="360"/>
        </w:tabs>
        <w:rPr>
          <w:rFonts w:ascii="Arial" w:hAnsi="Arial" w:cs="Arial"/>
          <w:bCs/>
          <w:color w:val="000000" w:themeColor="text1"/>
          <w:sz w:val="22"/>
          <w:szCs w:val="22"/>
        </w:rPr>
      </w:pPr>
    </w:p>
    <w:p w14:paraId="0CD52B14" w14:textId="16C917E6" w:rsidR="00454452" w:rsidRDefault="00454452" w:rsidP="00454452">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Powell also offered assurance that the target range for Federal funds rate, which is one of the Fed’s tools for influencing short-term interest rates, will remain unchanged until “…t</w:t>
      </w:r>
      <w:r w:rsidRPr="00B778AD">
        <w:rPr>
          <w:rFonts w:ascii="Arial" w:hAnsi="Arial" w:cs="Arial"/>
          <w:bCs/>
          <w:color w:val="000000" w:themeColor="text1"/>
          <w:sz w:val="22"/>
          <w:szCs w:val="22"/>
        </w:rPr>
        <w:t>he economy reaches conditions consistent with maximum employment, and inflation has reached 2 percent and is on track to moderately exceed 2 percent for some time.</w:t>
      </w:r>
    </w:p>
    <w:p w14:paraId="68E255C9" w14:textId="77777777" w:rsidR="00454452" w:rsidRDefault="00454452" w:rsidP="00454452">
      <w:pPr>
        <w:tabs>
          <w:tab w:val="left" w:pos="360"/>
        </w:tabs>
        <w:rPr>
          <w:rFonts w:ascii="Arial" w:hAnsi="Arial" w:cs="Arial"/>
          <w:bCs/>
          <w:color w:val="000000" w:themeColor="text1"/>
          <w:sz w:val="22"/>
          <w:szCs w:val="22"/>
        </w:rPr>
      </w:pPr>
    </w:p>
    <w:p w14:paraId="4E01F0B6" w14:textId="72BFF03D" w:rsidR="00454452" w:rsidRDefault="00454452" w:rsidP="00454452">
      <w:pPr>
        <w:rPr>
          <w:rFonts w:ascii="Arial" w:hAnsi="Arial" w:cs="Arial"/>
          <w:bCs/>
          <w:color w:val="000000" w:themeColor="text1"/>
          <w:sz w:val="22"/>
          <w:szCs w:val="22"/>
        </w:rPr>
      </w:pPr>
      <w:r>
        <w:rPr>
          <w:rFonts w:ascii="Arial" w:hAnsi="Arial" w:cs="Arial"/>
          <w:bCs/>
          <w:color w:val="000000" w:themeColor="text1"/>
          <w:sz w:val="22"/>
          <w:szCs w:val="22"/>
        </w:rPr>
        <w:t xml:space="preserve">Investors were delighted by the Fed’s stance, as well as positive data on second quarter’s economic growth and corporate earnings. The </w:t>
      </w:r>
      <w:r w:rsidRPr="001E327F">
        <w:rPr>
          <w:rFonts w:ascii="Arial" w:hAnsi="Arial" w:cs="Arial"/>
          <w:bCs/>
          <w:color w:val="000000" w:themeColor="text1"/>
          <w:sz w:val="22"/>
          <w:szCs w:val="22"/>
        </w:rPr>
        <w:t>Bureau of Economic Analysis</w:t>
      </w:r>
      <w:r>
        <w:rPr>
          <w:rFonts w:ascii="Arial" w:hAnsi="Arial" w:cs="Arial"/>
          <w:bCs/>
          <w:color w:val="000000" w:themeColor="text1"/>
          <w:sz w:val="22"/>
          <w:szCs w:val="22"/>
        </w:rPr>
        <w:t xml:space="preserve"> reported that gross domestic product (GDP), which is the value of all goods and services produced in the United States, increased 6.6 percent from April through June. That was an improvement on the January to March quarter when the economy grew by 6.3 percent.</w:t>
      </w:r>
    </w:p>
    <w:p w14:paraId="3B7C5726" w14:textId="15DA4CC5" w:rsidR="00454452" w:rsidRPr="00FC1EC1" w:rsidRDefault="00454452" w:rsidP="00454452">
      <w:pPr>
        <w:pStyle w:val="NormalWeb"/>
      </w:pPr>
      <w:r>
        <w:rPr>
          <w:rFonts w:ascii="Arial" w:hAnsi="Arial" w:cs="Arial"/>
          <w:bCs/>
          <w:color w:val="000000" w:themeColor="text1"/>
          <w:sz w:val="22"/>
          <w:szCs w:val="22"/>
        </w:rPr>
        <w:t xml:space="preserve">Corporate earnings, which reflect companies’ profits, were also strong during the second quarter. Companies had relatively easy year-over-year comparisons to 2020’s dismal second quarter and, with almost 98 percent of companies in the S&amp;P 500 reporting in, earnings for companies in the S&amp;P 500 are expected to be 95.4 percent higher, year-over-year, and 79.9 percent higher when the energy sector is excluded, reported </w:t>
      </w:r>
      <w:proofErr w:type="spellStart"/>
      <w:r w:rsidRPr="00184AA3">
        <w:rPr>
          <w:rFonts w:ascii="Arial" w:hAnsi="Arial" w:cs="Arial"/>
          <w:bCs/>
          <w:color w:val="000000" w:themeColor="text1"/>
          <w:sz w:val="22"/>
          <w:szCs w:val="22"/>
        </w:rPr>
        <w:t>Tajinder</w:t>
      </w:r>
      <w:proofErr w:type="spellEnd"/>
      <w:r w:rsidRPr="00184AA3">
        <w:rPr>
          <w:rFonts w:ascii="Arial" w:hAnsi="Arial" w:cs="Arial"/>
          <w:bCs/>
          <w:color w:val="000000" w:themeColor="text1"/>
          <w:sz w:val="22"/>
          <w:szCs w:val="22"/>
        </w:rPr>
        <w:t xml:space="preserve"> Dhillon</w:t>
      </w:r>
      <w:r>
        <w:rPr>
          <w:rFonts w:ascii="Arial" w:hAnsi="Arial" w:cs="Arial"/>
          <w:bCs/>
          <w:color w:val="000000" w:themeColor="text1"/>
          <w:sz w:val="22"/>
          <w:szCs w:val="22"/>
        </w:rPr>
        <w:t xml:space="preserve"> and </w:t>
      </w:r>
      <w:r w:rsidRPr="00184AA3">
        <w:rPr>
          <w:rFonts w:ascii="Arial" w:hAnsi="Arial" w:cs="Arial"/>
          <w:bCs/>
          <w:color w:val="000000" w:themeColor="text1"/>
          <w:sz w:val="22"/>
          <w:szCs w:val="22"/>
        </w:rPr>
        <w:t>Thomas Alonso</w:t>
      </w:r>
      <w:r>
        <w:rPr>
          <w:rFonts w:ascii="Arial" w:hAnsi="Arial" w:cs="Arial"/>
          <w:bCs/>
          <w:color w:val="000000" w:themeColor="text1"/>
          <w:sz w:val="22"/>
          <w:szCs w:val="22"/>
        </w:rPr>
        <w:t xml:space="preserve"> of </w:t>
      </w:r>
      <w:r w:rsidRPr="001E327F">
        <w:rPr>
          <w:rFonts w:ascii="Arial" w:hAnsi="Arial" w:cs="Arial"/>
          <w:bCs/>
          <w:color w:val="000000" w:themeColor="text1"/>
          <w:sz w:val="22"/>
          <w:szCs w:val="22"/>
        </w:rPr>
        <w:t>Refinitiv</w:t>
      </w:r>
      <w:r>
        <w:rPr>
          <w:rFonts w:ascii="Arial" w:hAnsi="Arial" w:cs="Arial"/>
          <w:bCs/>
          <w:color w:val="000000" w:themeColor="text1"/>
          <w:sz w:val="22"/>
          <w:szCs w:val="22"/>
        </w:rPr>
        <w:t>.</w:t>
      </w:r>
    </w:p>
    <w:p w14:paraId="2C282F43" w14:textId="1176CE70" w:rsidR="00454452" w:rsidRDefault="00454452" w:rsidP="00454452">
      <w:pPr>
        <w:rPr>
          <w:rFonts w:ascii="Arial" w:hAnsi="Arial" w:cs="Arial"/>
          <w:bCs/>
          <w:color w:val="000000" w:themeColor="text1"/>
          <w:sz w:val="22"/>
          <w:szCs w:val="22"/>
        </w:rPr>
      </w:pPr>
      <w:r>
        <w:rPr>
          <w:rFonts w:ascii="Arial" w:hAnsi="Arial" w:cs="Arial"/>
          <w:bCs/>
          <w:color w:val="000000" w:themeColor="text1"/>
          <w:sz w:val="22"/>
          <w:szCs w:val="22"/>
        </w:rPr>
        <w:t>Last week, the Standard &amp; Poor’s 500 Index closed at a record high for the 52</w:t>
      </w:r>
      <w:r w:rsidRPr="00162B9D">
        <w:rPr>
          <w:rFonts w:ascii="Arial" w:hAnsi="Arial" w:cs="Arial"/>
          <w:bCs/>
          <w:color w:val="000000" w:themeColor="text1"/>
          <w:sz w:val="22"/>
          <w:szCs w:val="22"/>
          <w:vertAlign w:val="superscript"/>
        </w:rPr>
        <w:t>nd</w:t>
      </w:r>
      <w:r>
        <w:rPr>
          <w:rFonts w:ascii="Arial" w:hAnsi="Arial" w:cs="Arial"/>
          <w:bCs/>
          <w:color w:val="000000" w:themeColor="text1"/>
          <w:sz w:val="22"/>
          <w:szCs w:val="22"/>
        </w:rPr>
        <w:t xml:space="preserve"> time in 2021, reported </w:t>
      </w:r>
      <w:r w:rsidRPr="00162B9D">
        <w:rPr>
          <w:rFonts w:ascii="Arial" w:hAnsi="Arial" w:cs="Arial"/>
          <w:bCs/>
          <w:color w:val="000000" w:themeColor="text1"/>
          <w:sz w:val="22"/>
          <w:szCs w:val="22"/>
        </w:rPr>
        <w:t xml:space="preserve">Lewis </w:t>
      </w:r>
      <w:proofErr w:type="spellStart"/>
      <w:r w:rsidRPr="00162B9D">
        <w:rPr>
          <w:rFonts w:ascii="Arial" w:hAnsi="Arial" w:cs="Arial"/>
          <w:bCs/>
          <w:color w:val="000000" w:themeColor="text1"/>
          <w:sz w:val="22"/>
          <w:szCs w:val="22"/>
        </w:rPr>
        <w:t>Krauskopf</w:t>
      </w:r>
      <w:proofErr w:type="spellEnd"/>
      <w:r w:rsidRPr="00162B9D">
        <w:rPr>
          <w:rFonts w:ascii="Arial" w:hAnsi="Arial" w:cs="Arial"/>
          <w:bCs/>
          <w:color w:val="000000" w:themeColor="text1"/>
          <w:sz w:val="22"/>
          <w:szCs w:val="22"/>
        </w:rPr>
        <w:t xml:space="preserve"> and Saqib Ahmed</w:t>
      </w:r>
      <w:r>
        <w:rPr>
          <w:rFonts w:ascii="Arial" w:hAnsi="Arial" w:cs="Arial"/>
          <w:bCs/>
          <w:color w:val="000000" w:themeColor="text1"/>
          <w:sz w:val="22"/>
          <w:szCs w:val="22"/>
        </w:rPr>
        <w:t xml:space="preserve"> of </w:t>
      </w:r>
      <w:r w:rsidRPr="001E327F">
        <w:rPr>
          <w:rFonts w:ascii="Arial" w:hAnsi="Arial" w:cs="Arial"/>
          <w:bCs/>
          <w:color w:val="000000" w:themeColor="text1"/>
          <w:sz w:val="22"/>
          <w:szCs w:val="22"/>
        </w:rPr>
        <w:t>Reuters</w:t>
      </w:r>
      <w:r>
        <w:rPr>
          <w:rFonts w:ascii="Arial" w:hAnsi="Arial" w:cs="Arial"/>
          <w:bCs/>
          <w:color w:val="000000" w:themeColor="text1"/>
          <w:sz w:val="22"/>
          <w:szCs w:val="22"/>
        </w:rPr>
        <w:t>. The Dow Jones Industrial Average and Nasdaq Composite also finished the week higher, as did the yield on 10-year Treasuries.</w:t>
      </w:r>
    </w:p>
    <w:p w14:paraId="1CA9EABE" w14:textId="77777777" w:rsidR="00454452" w:rsidRPr="00EF78F4" w:rsidRDefault="00454452" w:rsidP="00454452">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454452" w:rsidRPr="00EF78F4" w14:paraId="158B561F"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F46DA"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Data as of 8/</w:t>
            </w:r>
            <w:r>
              <w:rPr>
                <w:rFonts w:ascii="Arial" w:hAnsi="Arial" w:cs="Arial"/>
                <w:b/>
                <w:bCs/>
                <w:color w:val="000000" w:themeColor="text1"/>
                <w:sz w:val="22"/>
                <w:szCs w:val="22"/>
              </w:rPr>
              <w:t>27</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226DEC25"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8FDD6"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FEF5FF"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5303032"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B5D1F8"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44EED5"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454452" w:rsidRPr="00EF78F4" w14:paraId="03F15B70" w14:textId="77777777" w:rsidTr="00764D2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D739697"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7664E296"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1.5</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7559C7D"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20.1</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4A6134F6"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29.4</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E399B22"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9</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301320E"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6</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FEA2098"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14.</w:t>
            </w:r>
            <w:r>
              <w:rPr>
                <w:rFonts w:ascii="Arial" w:hAnsi="Arial" w:cs="Arial"/>
                <w:sz w:val="22"/>
                <w:szCs w:val="22"/>
              </w:rPr>
              <w:t>1</w:t>
            </w:r>
            <w:r w:rsidRPr="006B387B">
              <w:rPr>
                <w:rFonts w:ascii="Arial" w:hAnsi="Arial" w:cs="Arial"/>
                <w:sz w:val="22"/>
                <w:szCs w:val="22"/>
              </w:rPr>
              <w:t>%</w:t>
            </w:r>
          </w:p>
        </w:tc>
      </w:tr>
      <w:tr w:rsidR="00454452" w:rsidRPr="00EF78F4" w14:paraId="6BECA3CE"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D80AC"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014E2E0A"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8EA29" w14:textId="77777777" w:rsidR="00454452" w:rsidRPr="006B387B" w:rsidRDefault="00454452" w:rsidP="00764D23">
            <w:pPr>
              <w:tabs>
                <w:tab w:val="left" w:pos="263"/>
                <w:tab w:val="center" w:pos="372"/>
                <w:tab w:val="left" w:pos="8550"/>
              </w:tabs>
              <w:jc w:val="center"/>
              <w:rPr>
                <w:rFonts w:ascii="Arial" w:hAnsi="Arial" w:cs="Arial"/>
                <w:sz w:val="22"/>
                <w:szCs w:val="22"/>
              </w:rPr>
            </w:pPr>
            <w:r>
              <w:rPr>
                <w:rFonts w:ascii="Arial" w:hAnsi="Arial" w:cs="Arial"/>
                <w:sz w:val="22"/>
                <w:szCs w:val="22"/>
              </w:rPr>
              <w:t>7.2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4BE709"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2.1</w:t>
            </w:r>
          </w:p>
        </w:tc>
        <w:tc>
          <w:tcPr>
            <w:tcW w:w="900" w:type="dxa"/>
            <w:tcBorders>
              <w:top w:val="single" w:sz="4" w:space="0" w:color="auto"/>
              <w:left w:val="nil"/>
              <w:bottom w:val="single" w:sz="4" w:space="0" w:color="auto"/>
              <w:right w:val="single" w:sz="4" w:space="0" w:color="auto"/>
            </w:tcBorders>
            <w:shd w:val="clear" w:color="auto" w:fill="auto"/>
            <w:vAlign w:val="center"/>
          </w:tcPr>
          <w:p w14:paraId="49EB15D4"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6.</w:t>
            </w:r>
            <w:r>
              <w:rPr>
                <w:rFonts w:ascii="Arial" w:hAnsi="Arial" w:cs="Arial"/>
                <w:sz w:val="22"/>
                <w:szCs w:val="22"/>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B14822"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2927E7"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4.</w:t>
            </w:r>
            <w:r>
              <w:rPr>
                <w:rFonts w:ascii="Arial" w:hAnsi="Arial" w:cs="Arial"/>
                <w:sz w:val="22"/>
                <w:szCs w:val="22"/>
              </w:rPr>
              <w:t>5</w:t>
            </w:r>
          </w:p>
        </w:tc>
      </w:tr>
      <w:tr w:rsidR="00454452" w:rsidRPr="00EF78F4" w14:paraId="281DA483"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4FC56"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07615BAB"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65C4E" w14:textId="77777777" w:rsidR="00454452" w:rsidRPr="006B387B" w:rsidRDefault="00454452" w:rsidP="00764D23">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0FE41E"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54AF2D30"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655F8E"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0FB19D"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3</w:t>
            </w:r>
          </w:p>
        </w:tc>
      </w:tr>
      <w:tr w:rsidR="00454452" w:rsidRPr="00EF78F4" w14:paraId="21F52DE0"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CEC37"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003EBD6C"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577A2"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0FB3973"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6.5</w:t>
            </w:r>
          </w:p>
        </w:tc>
        <w:tc>
          <w:tcPr>
            <w:tcW w:w="900" w:type="dxa"/>
            <w:tcBorders>
              <w:top w:val="single" w:sz="4" w:space="0" w:color="auto"/>
              <w:left w:val="nil"/>
              <w:bottom w:val="single" w:sz="4" w:space="0" w:color="auto"/>
              <w:right w:val="single" w:sz="4" w:space="0" w:color="auto"/>
            </w:tcBorders>
            <w:shd w:val="clear" w:color="auto" w:fill="auto"/>
            <w:vAlign w:val="center"/>
          </w:tcPr>
          <w:p w14:paraId="00D7D074"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14.</w:t>
            </w:r>
            <w:r>
              <w:rPr>
                <w:rFonts w:ascii="Arial" w:hAnsi="Arial" w:cs="Arial"/>
                <w:sz w:val="22"/>
                <w:szCs w:val="22"/>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64A3F7"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F332EB"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2</w:t>
            </w:r>
          </w:p>
        </w:tc>
      </w:tr>
      <w:tr w:rsidR="00454452" w:rsidRPr="00EF78F4" w14:paraId="6268E073"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DAF4F"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1A6B47BD"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BCF91"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23.5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46A019"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32.7</w:t>
            </w:r>
          </w:p>
        </w:tc>
        <w:tc>
          <w:tcPr>
            <w:tcW w:w="900" w:type="dxa"/>
            <w:tcBorders>
              <w:top w:val="single" w:sz="4" w:space="0" w:color="auto"/>
              <w:left w:val="nil"/>
              <w:bottom w:val="single" w:sz="4" w:space="0" w:color="auto"/>
              <w:right w:val="single" w:sz="4" w:space="0" w:color="auto"/>
            </w:tcBorders>
            <w:shd w:val="clear" w:color="auto" w:fill="auto"/>
            <w:vAlign w:val="center"/>
          </w:tcPr>
          <w:p w14:paraId="0278E8A8"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821506"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6D7686"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-5.</w:t>
            </w:r>
            <w:r>
              <w:rPr>
                <w:rFonts w:ascii="Arial" w:hAnsi="Arial" w:cs="Arial"/>
                <w:sz w:val="22"/>
                <w:szCs w:val="22"/>
              </w:rPr>
              <w:t>1</w:t>
            </w:r>
          </w:p>
        </w:tc>
      </w:tr>
    </w:tbl>
    <w:p w14:paraId="6C777996" w14:textId="77777777" w:rsidR="00454452" w:rsidRPr="006F4C0C" w:rsidRDefault="00454452" w:rsidP="00454452">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E805937" w14:textId="77777777" w:rsidR="00454452" w:rsidRPr="006F4C0C" w:rsidRDefault="00454452" w:rsidP="00454452">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5CEB7835" w14:textId="77777777" w:rsidR="00454452" w:rsidRPr="006F4C0C" w:rsidRDefault="00454452" w:rsidP="00454452">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06F724D" w14:textId="77777777" w:rsidR="00454452" w:rsidRPr="00EF78F4" w:rsidRDefault="00454452" w:rsidP="00454452">
      <w:pPr>
        <w:rPr>
          <w:rFonts w:ascii="Arial" w:hAnsi="Arial" w:cs="Arial"/>
          <w:bCs/>
          <w:color w:val="000000" w:themeColor="text1"/>
          <w:sz w:val="22"/>
          <w:szCs w:val="22"/>
        </w:rPr>
      </w:pPr>
    </w:p>
    <w:p w14:paraId="5E80E723" w14:textId="658A2076" w:rsidR="00454452" w:rsidRPr="00431CEB" w:rsidRDefault="00454452" w:rsidP="00454452">
      <w:pPr>
        <w:rPr>
          <w:rFonts w:ascii="Arial" w:hAnsi="Arial" w:cs="Arial"/>
          <w:bCs/>
          <w:color w:val="000000" w:themeColor="text1"/>
          <w:sz w:val="22"/>
          <w:szCs w:val="22"/>
        </w:rPr>
      </w:pPr>
      <w:r>
        <w:rPr>
          <w:rFonts w:ascii="Arial" w:hAnsi="Arial" w:cs="Arial"/>
          <w:b/>
          <w:bCs/>
          <w:caps/>
          <w:color w:val="0D304A"/>
          <w:sz w:val="22"/>
          <w:szCs w:val="22"/>
        </w:rPr>
        <w:t xml:space="preserve">what do you know about stock markets? </w:t>
      </w:r>
      <w:r w:rsidRPr="00431CEB">
        <w:rPr>
          <w:rFonts w:ascii="Arial" w:hAnsi="Arial" w:cs="Arial"/>
          <w:bCs/>
          <w:color w:val="000000" w:themeColor="text1"/>
          <w:sz w:val="22"/>
          <w:szCs w:val="22"/>
        </w:rPr>
        <w:t xml:space="preserve">When people are </w:t>
      </w:r>
      <w:proofErr w:type="spellStart"/>
      <w:r w:rsidRPr="00431CEB">
        <w:rPr>
          <w:rFonts w:ascii="Arial" w:hAnsi="Arial" w:cs="Arial"/>
          <w:bCs/>
          <w:color w:val="000000" w:themeColor="text1"/>
          <w:sz w:val="22"/>
          <w:szCs w:val="22"/>
        </w:rPr>
        <w:t>fnancially</w:t>
      </w:r>
      <w:proofErr w:type="spellEnd"/>
      <w:r w:rsidRPr="00431CEB">
        <w:rPr>
          <w:rFonts w:ascii="Arial" w:hAnsi="Arial" w:cs="Arial"/>
          <w:bCs/>
          <w:color w:val="000000" w:themeColor="text1"/>
          <w:sz w:val="22"/>
          <w:szCs w:val="22"/>
        </w:rPr>
        <w:t xml:space="preserve"> literate, they have the knowledge and information necessary to make sound financial decisions. The </w:t>
      </w:r>
      <w:r w:rsidRPr="001E327F">
        <w:rPr>
          <w:rFonts w:ascii="Arial" w:hAnsi="Arial" w:cs="Arial"/>
          <w:bCs/>
          <w:color w:val="000000" w:themeColor="text1"/>
          <w:sz w:val="22"/>
          <w:szCs w:val="22"/>
        </w:rPr>
        <w:t xml:space="preserve">2020 TIAA Institute-Global Financial Literacy Excellence Center Personal Finance Index </w:t>
      </w:r>
      <w:r>
        <w:rPr>
          <w:rFonts w:ascii="Arial" w:hAnsi="Arial" w:cs="Arial"/>
          <w:bCs/>
          <w:color w:val="000000" w:themeColor="text1"/>
          <w:sz w:val="22"/>
          <w:szCs w:val="22"/>
        </w:rPr>
        <w:t>reported that more than half of U.S. adults understood borrowing, saving, earning and consuming, while less than half had a clear understanding of investing and risk.</w:t>
      </w:r>
    </w:p>
    <w:p w14:paraId="12300A86" w14:textId="77777777" w:rsidR="00454452" w:rsidRDefault="00454452" w:rsidP="00454452">
      <w:pPr>
        <w:rPr>
          <w:rFonts w:ascii="Arial" w:hAnsi="Arial" w:cs="Arial"/>
          <w:bCs/>
          <w:color w:val="000000" w:themeColor="text1"/>
          <w:sz w:val="22"/>
          <w:szCs w:val="22"/>
        </w:rPr>
      </w:pPr>
    </w:p>
    <w:p w14:paraId="5810843B" w14:textId="4571A8BF" w:rsidR="00454452" w:rsidRDefault="00454452" w:rsidP="00454452">
      <w:pPr>
        <w:rPr>
          <w:rFonts w:ascii="Arial" w:hAnsi="Arial" w:cs="Arial"/>
          <w:color w:val="000000" w:themeColor="text1"/>
          <w:sz w:val="22"/>
          <w:szCs w:val="22"/>
        </w:rPr>
      </w:pPr>
      <w:r>
        <w:rPr>
          <w:rFonts w:ascii="Arial" w:hAnsi="Arial" w:cs="Arial"/>
          <w:color w:val="000000" w:themeColor="text1"/>
          <w:sz w:val="22"/>
          <w:szCs w:val="22"/>
        </w:rPr>
        <w:t>One common type of investment is stock. The stock market is where stock is issued, purchased and sold. Stockholders have an ownership interest in a company. Test your knowledge of stocks by taking this brief quiz.</w:t>
      </w:r>
    </w:p>
    <w:p w14:paraId="0CADA533" w14:textId="77777777" w:rsidR="00454452" w:rsidRDefault="00454452" w:rsidP="00454452">
      <w:pPr>
        <w:rPr>
          <w:rFonts w:ascii="Arial" w:hAnsi="Arial" w:cs="Arial"/>
          <w:color w:val="000000" w:themeColor="text1"/>
          <w:sz w:val="22"/>
          <w:szCs w:val="22"/>
        </w:rPr>
      </w:pPr>
    </w:p>
    <w:p w14:paraId="7CA7603A"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What is a characteristic of a bull market?</w:t>
      </w:r>
    </w:p>
    <w:p w14:paraId="3C2394F2"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Stock prices rise</w:t>
      </w:r>
    </w:p>
    <w:p w14:paraId="3C15D5C4"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Stock prices fall</w:t>
      </w:r>
    </w:p>
    <w:p w14:paraId="2CB68F7B"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Investors are pessimistic</w:t>
      </w:r>
    </w:p>
    <w:p w14:paraId="72AB1BE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None of the above</w:t>
      </w:r>
    </w:p>
    <w:p w14:paraId="295A4BEE" w14:textId="77777777" w:rsidR="00454452" w:rsidRPr="006B0E17" w:rsidRDefault="00454452" w:rsidP="00454452">
      <w:pPr>
        <w:rPr>
          <w:rFonts w:ascii="Arial" w:hAnsi="Arial" w:cs="Arial"/>
          <w:color w:val="000000" w:themeColor="text1"/>
          <w:sz w:val="22"/>
          <w:szCs w:val="22"/>
        </w:rPr>
      </w:pPr>
    </w:p>
    <w:p w14:paraId="081FA93B"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A stockholder is ______ who/that owns at least one share of a corporation’s stock.</w:t>
      </w:r>
    </w:p>
    <w:p w14:paraId="41ABDFA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person</w:t>
      </w:r>
    </w:p>
    <w:p w14:paraId="79AFCB60"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company</w:t>
      </w:r>
    </w:p>
    <w:p w14:paraId="681A2D8A"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An institution</w:t>
      </w:r>
    </w:p>
    <w:p w14:paraId="4F51F72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All of the above</w:t>
      </w:r>
    </w:p>
    <w:p w14:paraId="16835BDA" w14:textId="77777777" w:rsidR="00454452" w:rsidRDefault="00454452" w:rsidP="00454452">
      <w:pPr>
        <w:pStyle w:val="ListParagraph"/>
        <w:ind w:left="1440"/>
        <w:rPr>
          <w:rFonts w:ascii="Arial" w:hAnsi="Arial" w:cs="Arial"/>
          <w:color w:val="000000" w:themeColor="text1"/>
          <w:sz w:val="22"/>
          <w:szCs w:val="22"/>
        </w:rPr>
      </w:pPr>
    </w:p>
    <w:p w14:paraId="48677504"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A person may be able to invest in a company by purchasing:</w:t>
      </w:r>
    </w:p>
    <w:p w14:paraId="4400E47B"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Common stock</w:t>
      </w:r>
    </w:p>
    <w:p w14:paraId="714A2E34"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Preferred stock</w:t>
      </w:r>
    </w:p>
    <w:p w14:paraId="45DB73D5"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Corporate bonds</w:t>
      </w:r>
    </w:p>
    <w:p w14:paraId="0EF77E6F"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All of the above</w:t>
      </w:r>
    </w:p>
    <w:p w14:paraId="47BA29D0" w14:textId="77777777" w:rsidR="00454452" w:rsidRPr="0068696B" w:rsidRDefault="00454452" w:rsidP="00454452">
      <w:pPr>
        <w:rPr>
          <w:rFonts w:ascii="Arial" w:hAnsi="Arial" w:cs="Arial"/>
          <w:color w:val="000000" w:themeColor="text1"/>
          <w:sz w:val="22"/>
          <w:szCs w:val="22"/>
        </w:rPr>
      </w:pPr>
    </w:p>
    <w:p w14:paraId="4BE2E0F6"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What term is used to describe a stock market decline of 10 percent?</w:t>
      </w:r>
    </w:p>
    <w:p w14:paraId="59DD1362"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dip</w:t>
      </w:r>
    </w:p>
    <w:p w14:paraId="113D848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correction</w:t>
      </w:r>
    </w:p>
    <w:p w14:paraId="0011CE11"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haircut</w:t>
      </w:r>
    </w:p>
    <w:p w14:paraId="461B1D4B"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bath</w:t>
      </w:r>
    </w:p>
    <w:p w14:paraId="193FAC27" w14:textId="77777777" w:rsidR="00454452" w:rsidRDefault="00454452" w:rsidP="00454452">
      <w:pPr>
        <w:pStyle w:val="ListParagraph"/>
        <w:ind w:left="1440"/>
        <w:rPr>
          <w:rFonts w:ascii="Arial" w:hAnsi="Arial" w:cs="Arial"/>
          <w:color w:val="000000" w:themeColor="text1"/>
          <w:sz w:val="22"/>
          <w:szCs w:val="22"/>
        </w:rPr>
      </w:pPr>
    </w:p>
    <w:p w14:paraId="3ABC167B"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List the following from highest risk to lowest risk:</w:t>
      </w:r>
    </w:p>
    <w:p w14:paraId="5CB73D01"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 xml:space="preserve">Emerging market stock </w:t>
      </w:r>
    </w:p>
    <w:p w14:paraId="7CAC44C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10-year Treasury bond</w:t>
      </w:r>
    </w:p>
    <w:p w14:paraId="77D751F8"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30-year investment-grade bond</w:t>
      </w:r>
    </w:p>
    <w:p w14:paraId="1A70829E"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Savings account</w:t>
      </w:r>
    </w:p>
    <w:p w14:paraId="694FB40C"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U.S. blue chip stock</w:t>
      </w:r>
    </w:p>
    <w:p w14:paraId="31BB2998" w14:textId="77777777" w:rsidR="00454452" w:rsidRPr="00C8476C" w:rsidRDefault="00454452" w:rsidP="00454452">
      <w:pPr>
        <w:pStyle w:val="ListParagraph"/>
        <w:ind w:left="1440"/>
        <w:rPr>
          <w:rFonts w:ascii="Arial" w:hAnsi="Arial" w:cs="Arial"/>
          <w:color w:val="000000" w:themeColor="text1"/>
          <w:sz w:val="22"/>
          <w:szCs w:val="22"/>
        </w:rPr>
      </w:pPr>
    </w:p>
    <w:p w14:paraId="74378202" w14:textId="77777777" w:rsidR="00454452" w:rsidRPr="0068696B" w:rsidRDefault="00454452" w:rsidP="00454452">
      <w:pPr>
        <w:pStyle w:val="ListParagraph"/>
        <w:numPr>
          <w:ilvl w:val="0"/>
          <w:numId w:val="31"/>
        </w:numPr>
        <w:rPr>
          <w:rFonts w:ascii="Arial" w:hAnsi="Arial" w:cs="Arial"/>
          <w:color w:val="000000" w:themeColor="text1"/>
          <w:sz w:val="22"/>
          <w:szCs w:val="22"/>
        </w:rPr>
      </w:pPr>
      <w:r w:rsidRPr="0068696B">
        <w:rPr>
          <w:rFonts w:ascii="Arial" w:hAnsi="Arial" w:cs="Arial"/>
          <w:color w:val="000000" w:themeColor="text1"/>
          <w:sz w:val="22"/>
          <w:szCs w:val="22"/>
        </w:rPr>
        <w:t>Which of the following is a reason that a company might issue stock?</w:t>
      </w:r>
    </w:p>
    <w:p w14:paraId="1083861C"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 xml:space="preserve">Raise capital </w:t>
      </w:r>
    </w:p>
    <w:p w14:paraId="20BC8B8F"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 xml:space="preserve">Transfer ownership </w:t>
      </w:r>
    </w:p>
    <w:p w14:paraId="7C42A6F1"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Reduce debt</w:t>
      </w:r>
    </w:p>
    <w:p w14:paraId="240B5C05" w14:textId="77777777" w:rsidR="00454452" w:rsidRPr="00B9021A"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All of the above</w:t>
      </w:r>
    </w:p>
    <w:p w14:paraId="62D5F804" w14:textId="77777777" w:rsidR="00454452" w:rsidRDefault="00454452" w:rsidP="00454452">
      <w:pPr>
        <w:rPr>
          <w:rFonts w:ascii="Arial" w:hAnsi="Arial" w:cs="Arial"/>
          <w:color w:val="000000" w:themeColor="text1"/>
          <w:sz w:val="22"/>
          <w:szCs w:val="22"/>
        </w:rPr>
      </w:pPr>
    </w:p>
    <w:p w14:paraId="4598A73E" w14:textId="77777777" w:rsidR="00454452" w:rsidRPr="0029516D" w:rsidRDefault="00454452" w:rsidP="00454452">
      <w:pPr>
        <w:rPr>
          <w:rFonts w:ascii="Arial" w:hAnsi="Arial" w:cs="Arial"/>
          <w:color w:val="000000" w:themeColor="text1"/>
          <w:sz w:val="22"/>
          <w:szCs w:val="22"/>
        </w:rPr>
      </w:pPr>
      <w:r>
        <w:rPr>
          <w:rFonts w:ascii="Arial" w:hAnsi="Arial" w:cs="Arial"/>
          <w:color w:val="000000" w:themeColor="text1"/>
          <w:sz w:val="22"/>
          <w:szCs w:val="22"/>
        </w:rPr>
        <w:t>If you have any questions about the answers, let us know.</w:t>
      </w:r>
    </w:p>
    <w:p w14:paraId="0C54BDAF" w14:textId="77777777" w:rsidR="00454452" w:rsidRPr="00EF78F4" w:rsidRDefault="00454452" w:rsidP="00454452">
      <w:pPr>
        <w:tabs>
          <w:tab w:val="left" w:pos="8550"/>
        </w:tabs>
        <w:rPr>
          <w:rFonts w:ascii="Arial" w:hAnsi="Arial" w:cs="Arial"/>
          <w:bCs/>
          <w:color w:val="000000" w:themeColor="text1"/>
          <w:sz w:val="22"/>
          <w:szCs w:val="22"/>
        </w:rPr>
      </w:pPr>
    </w:p>
    <w:p w14:paraId="29FD92FB" w14:textId="77777777" w:rsidR="00454452" w:rsidRPr="00DF4D98" w:rsidRDefault="00454452" w:rsidP="00454452">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lastRenderedPageBreak/>
        <w:t xml:space="preserve">Weekly Focus – Think About It </w:t>
      </w:r>
    </w:p>
    <w:p w14:paraId="7FFC67B1" w14:textId="2D013CD3" w:rsidR="00454452" w:rsidRPr="00271895" w:rsidRDefault="00454452" w:rsidP="00454452">
      <w:pPr>
        <w:rPr>
          <w:rFonts w:ascii="Arial" w:hAnsi="Arial" w:cs="Arial"/>
          <w:color w:val="000000" w:themeColor="text1"/>
          <w:sz w:val="22"/>
          <w:szCs w:val="22"/>
        </w:rPr>
      </w:pPr>
      <w:r w:rsidRPr="00D2669E">
        <w:rPr>
          <w:rFonts w:ascii="Arial" w:hAnsi="Arial" w:cs="Arial"/>
          <w:color w:val="000000" w:themeColor="text1"/>
          <w:sz w:val="22"/>
          <w:szCs w:val="22"/>
        </w:rPr>
        <w:t>“</w:t>
      </w:r>
      <w:r w:rsidRPr="00271895">
        <w:rPr>
          <w:rFonts w:ascii="Arial" w:hAnsi="Arial" w:cs="Arial"/>
          <w:color w:val="000000" w:themeColor="text1"/>
          <w:sz w:val="22"/>
          <w:szCs w:val="22"/>
        </w:rPr>
        <w:t>Keep your face always toward the sunshine - and shadows will fall behind you.</w:t>
      </w:r>
      <w:r>
        <w:rPr>
          <w:rFonts w:ascii="Arial" w:hAnsi="Arial" w:cs="Arial"/>
          <w:color w:val="000000" w:themeColor="text1"/>
          <w:sz w:val="22"/>
          <w:szCs w:val="22"/>
        </w:rPr>
        <w:t>”</w:t>
      </w:r>
    </w:p>
    <w:p w14:paraId="11230091" w14:textId="054B0798" w:rsidR="00454452" w:rsidRPr="0046129B" w:rsidRDefault="00454452" w:rsidP="00454452">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46129B">
        <w:rPr>
          <w:rFonts w:ascii="Arial" w:hAnsi="Arial" w:cs="Arial"/>
          <w:i/>
          <w:iCs/>
          <w:color w:val="000000" w:themeColor="text1"/>
          <w:sz w:val="22"/>
          <w:szCs w:val="22"/>
        </w:rPr>
        <w:t xml:space="preserve"> Walt Whitman, </w:t>
      </w:r>
      <w:r>
        <w:rPr>
          <w:rFonts w:ascii="Arial" w:hAnsi="Arial" w:cs="Arial"/>
          <w:i/>
          <w:iCs/>
          <w:color w:val="000000" w:themeColor="text1"/>
          <w:sz w:val="22"/>
          <w:szCs w:val="22"/>
        </w:rPr>
        <w:t>p</w:t>
      </w:r>
      <w:r w:rsidRPr="0046129B">
        <w:rPr>
          <w:rFonts w:ascii="Arial" w:hAnsi="Arial" w:cs="Arial"/>
          <w:i/>
          <w:iCs/>
          <w:color w:val="000000" w:themeColor="text1"/>
          <w:sz w:val="22"/>
          <w:szCs w:val="22"/>
        </w:rPr>
        <w:t>oet</w:t>
      </w:r>
    </w:p>
    <w:p w14:paraId="06D9798B" w14:textId="77777777" w:rsidR="00454452" w:rsidRPr="00D2669E" w:rsidRDefault="00454452" w:rsidP="00454452">
      <w:pPr>
        <w:ind w:right="-36"/>
        <w:rPr>
          <w:rFonts w:ascii="Arial" w:hAnsi="Arial" w:cs="Arial"/>
          <w:color w:val="000000"/>
          <w:sz w:val="22"/>
          <w:szCs w:val="22"/>
        </w:rPr>
      </w:pPr>
    </w:p>
    <w:p w14:paraId="60188C2E" w14:textId="6E7D9923" w:rsidR="00454452" w:rsidRPr="003C3138" w:rsidRDefault="00454452" w:rsidP="00454452">
      <w:pPr>
        <w:ind w:right="-36"/>
        <w:rPr>
          <w:rFonts w:ascii="Arial" w:hAnsi="Arial" w:cs="Arial"/>
          <w:color w:val="000000"/>
          <w:sz w:val="20"/>
          <w:szCs w:val="20"/>
        </w:rPr>
      </w:pPr>
      <w:r w:rsidRPr="003C3138">
        <w:rPr>
          <w:rFonts w:ascii="Arial" w:hAnsi="Arial" w:cs="Arial"/>
          <w:color w:val="000000"/>
          <w:sz w:val="20"/>
          <w:szCs w:val="20"/>
        </w:rPr>
        <w:t>Answers:</w:t>
      </w:r>
      <w:r>
        <w:rPr>
          <w:rFonts w:ascii="Arial" w:hAnsi="Arial" w:cs="Arial"/>
          <w:color w:val="000000"/>
          <w:sz w:val="20"/>
          <w:szCs w:val="20"/>
        </w:rPr>
        <w:t xml:space="preserve"> (</w:t>
      </w:r>
      <w:r w:rsidRPr="003C3138">
        <w:rPr>
          <w:rFonts w:ascii="Arial" w:hAnsi="Arial" w:cs="Arial"/>
          <w:color w:val="000000"/>
          <w:sz w:val="20"/>
          <w:szCs w:val="20"/>
        </w:rPr>
        <w:t xml:space="preserve">1) A; </w:t>
      </w:r>
      <w:r>
        <w:rPr>
          <w:rFonts w:ascii="Arial" w:hAnsi="Arial" w:cs="Arial"/>
          <w:color w:val="000000"/>
          <w:sz w:val="20"/>
          <w:szCs w:val="20"/>
        </w:rPr>
        <w:t>(</w:t>
      </w:r>
      <w:r w:rsidRPr="003C3138">
        <w:rPr>
          <w:rFonts w:ascii="Arial" w:hAnsi="Arial" w:cs="Arial"/>
          <w:color w:val="000000"/>
          <w:sz w:val="20"/>
          <w:szCs w:val="20"/>
        </w:rPr>
        <w:t xml:space="preserve">2) </w:t>
      </w:r>
      <w:r>
        <w:rPr>
          <w:rFonts w:ascii="Arial" w:hAnsi="Arial" w:cs="Arial"/>
          <w:color w:val="000000"/>
          <w:sz w:val="20"/>
          <w:szCs w:val="20"/>
        </w:rPr>
        <w:t xml:space="preserve">D; (3) </w:t>
      </w:r>
      <w:r w:rsidRPr="003C3138">
        <w:rPr>
          <w:rFonts w:ascii="Arial" w:hAnsi="Arial" w:cs="Arial"/>
          <w:color w:val="000000"/>
          <w:sz w:val="20"/>
          <w:szCs w:val="20"/>
        </w:rPr>
        <w:t>D</w:t>
      </w:r>
      <w:r>
        <w:rPr>
          <w:rFonts w:ascii="Arial" w:hAnsi="Arial" w:cs="Arial"/>
          <w:color w:val="000000"/>
          <w:sz w:val="20"/>
          <w:szCs w:val="20"/>
        </w:rPr>
        <w:t xml:space="preserve">; (4) </w:t>
      </w:r>
      <w:r w:rsidRPr="003C3138">
        <w:rPr>
          <w:rFonts w:ascii="Arial" w:hAnsi="Arial" w:cs="Arial"/>
          <w:color w:val="000000"/>
          <w:sz w:val="20"/>
          <w:szCs w:val="20"/>
        </w:rPr>
        <w:t>B</w:t>
      </w:r>
      <w:r>
        <w:rPr>
          <w:rFonts w:ascii="Arial" w:hAnsi="Arial" w:cs="Arial"/>
          <w:color w:val="000000"/>
          <w:sz w:val="20"/>
          <w:szCs w:val="20"/>
        </w:rPr>
        <w:t>;</w:t>
      </w:r>
      <w:r w:rsidRPr="003C3138">
        <w:rPr>
          <w:rFonts w:ascii="Arial" w:hAnsi="Arial" w:cs="Arial"/>
          <w:color w:val="000000"/>
          <w:sz w:val="20"/>
          <w:szCs w:val="20"/>
        </w:rPr>
        <w:t xml:space="preserve"> </w:t>
      </w:r>
      <w:r>
        <w:rPr>
          <w:rFonts w:ascii="Arial" w:hAnsi="Arial" w:cs="Arial"/>
          <w:color w:val="000000"/>
          <w:sz w:val="20"/>
          <w:szCs w:val="20"/>
        </w:rPr>
        <w:t>(5</w:t>
      </w:r>
      <w:r w:rsidRPr="003C3138">
        <w:rPr>
          <w:rFonts w:ascii="Arial" w:hAnsi="Arial" w:cs="Arial"/>
          <w:color w:val="000000"/>
          <w:sz w:val="20"/>
          <w:szCs w:val="20"/>
        </w:rPr>
        <w:t xml:space="preserve">) </w:t>
      </w:r>
      <w:r>
        <w:rPr>
          <w:rFonts w:ascii="Arial" w:hAnsi="Arial" w:cs="Arial"/>
          <w:color w:val="000000"/>
          <w:sz w:val="20"/>
          <w:szCs w:val="20"/>
        </w:rPr>
        <w:t>A, E, C, B, D; (6</w:t>
      </w:r>
      <w:r w:rsidRPr="003C3138">
        <w:rPr>
          <w:rFonts w:ascii="Arial" w:hAnsi="Arial" w:cs="Arial"/>
          <w:color w:val="000000"/>
          <w:sz w:val="20"/>
          <w:szCs w:val="20"/>
        </w:rPr>
        <w:t xml:space="preserve">) </w:t>
      </w:r>
      <w:r>
        <w:rPr>
          <w:rFonts w:ascii="Arial" w:hAnsi="Arial" w:cs="Arial"/>
          <w:color w:val="000000"/>
          <w:sz w:val="20"/>
          <w:szCs w:val="20"/>
        </w:rPr>
        <w:t>D</w:t>
      </w:r>
    </w:p>
    <w:p w14:paraId="77BB502E" w14:textId="77777777" w:rsidR="0056229A" w:rsidRPr="00D2669E" w:rsidRDefault="0056229A"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133436A5" w14:textId="77777777" w:rsidR="00027E53" w:rsidRPr="000E169B" w:rsidRDefault="00027E53" w:rsidP="00027E53">
      <w:pPr>
        <w:ind w:right="-36"/>
        <w:rPr>
          <w:rFonts w:ascii="Arial" w:hAnsi="Arial" w:cs="Arial"/>
          <w:color w:val="000000"/>
          <w:sz w:val="18"/>
          <w:szCs w:val="18"/>
        </w:rPr>
      </w:pPr>
    </w:p>
    <w:p w14:paraId="55210F76" w14:textId="77777777" w:rsidR="00027E53" w:rsidRDefault="00027E53" w:rsidP="00027E53">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705B128F" w14:textId="77777777" w:rsidR="00027E53" w:rsidRDefault="00027E53" w:rsidP="00027E53">
      <w:pPr>
        <w:pStyle w:val="NormalWeb"/>
        <w:spacing w:before="0" w:beforeAutospacing="0" w:after="0" w:afterAutospacing="0"/>
        <w:rPr>
          <w:rFonts w:ascii="Arial" w:hAnsi="Arial" w:cs="Arial"/>
          <w:sz w:val="22"/>
          <w:szCs w:val="22"/>
        </w:rPr>
      </w:pPr>
    </w:p>
    <w:p w14:paraId="70E3D8FB" w14:textId="77777777" w:rsidR="00027E53" w:rsidRPr="005513E4" w:rsidRDefault="00027E53" w:rsidP="00027E53">
      <w:pPr>
        <w:rPr>
          <w:rFonts w:ascii="Arial" w:hAnsi="Arial" w:cs="Arial"/>
          <w:sz w:val="22"/>
          <w:szCs w:val="22"/>
        </w:rPr>
      </w:pPr>
      <w:r w:rsidRPr="005513E4">
        <w:rPr>
          <w:rFonts w:ascii="Arial" w:hAnsi="Arial" w:cs="Arial"/>
          <w:sz w:val="22"/>
          <w:szCs w:val="22"/>
        </w:rPr>
        <w:t>Securities offered through Commonwealth Financial, Member FINRA/SIPC.</w:t>
      </w:r>
    </w:p>
    <w:p w14:paraId="44E223AF" w14:textId="77777777" w:rsidR="00027E53" w:rsidRDefault="00027E53" w:rsidP="0056229A">
      <w:pPr>
        <w:rPr>
          <w:rFonts w:ascii="Arial" w:hAnsi="Arial" w:cs="Arial"/>
          <w:color w:val="000000"/>
          <w:sz w:val="18"/>
          <w:szCs w:val="18"/>
        </w:rPr>
      </w:pPr>
    </w:p>
    <w:p w14:paraId="6C7F2AED" w14:textId="77777777" w:rsidR="00027E53" w:rsidRDefault="00027E53" w:rsidP="0056229A">
      <w:pPr>
        <w:rPr>
          <w:rFonts w:ascii="Arial" w:hAnsi="Arial" w:cs="Arial"/>
          <w:color w:val="000000"/>
          <w:sz w:val="18"/>
          <w:szCs w:val="18"/>
        </w:rPr>
      </w:pPr>
    </w:p>
    <w:p w14:paraId="151C4150" w14:textId="77777777" w:rsidR="00027E53" w:rsidRDefault="00027E53" w:rsidP="0056229A">
      <w:pPr>
        <w:rPr>
          <w:rFonts w:ascii="Arial" w:hAnsi="Arial" w:cs="Arial"/>
          <w:color w:val="000000"/>
          <w:sz w:val="18"/>
          <w:szCs w:val="18"/>
        </w:rPr>
      </w:pPr>
    </w:p>
    <w:p w14:paraId="310045D4" w14:textId="659EB896"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142CDA65" w14:textId="77777777" w:rsidR="00454452" w:rsidRPr="00672322" w:rsidRDefault="00454452" w:rsidP="00454452">
      <w:pPr>
        <w:widowControl w:val="0"/>
        <w:adjustRightInd w:val="0"/>
        <w:ind w:right="-36"/>
        <w:rPr>
          <w:rFonts w:ascii="Arial" w:hAnsi="Arial" w:cs="Arial"/>
          <w:sz w:val="18"/>
          <w:szCs w:val="18"/>
        </w:rPr>
      </w:pPr>
      <w:r w:rsidRPr="00672322">
        <w:rPr>
          <w:rFonts w:ascii="Arial" w:hAnsi="Arial" w:cs="Arial"/>
          <w:sz w:val="18"/>
          <w:szCs w:val="18"/>
        </w:rPr>
        <w:lastRenderedPageBreak/>
        <w:t>Sources:</w:t>
      </w:r>
    </w:p>
    <w:p w14:paraId="17C31B0D" w14:textId="085131B1" w:rsidR="00454452" w:rsidRDefault="00027E53" w:rsidP="00454452">
      <w:pPr>
        <w:pStyle w:val="EndnoteText"/>
        <w:rPr>
          <w:rFonts w:ascii="Arial" w:hAnsi="Arial" w:cs="Arial"/>
          <w:sz w:val="18"/>
          <w:szCs w:val="18"/>
        </w:rPr>
      </w:pPr>
      <w:hyperlink r:id="rId5" w:history="1">
        <w:r w:rsidR="00454452" w:rsidRPr="001B3F49">
          <w:rPr>
            <w:rStyle w:val="Hyperlink"/>
            <w:rFonts w:ascii="Arial" w:hAnsi="Arial" w:cs="Arial"/>
            <w:sz w:val="18"/>
            <w:szCs w:val="18"/>
          </w:rPr>
          <w:t>https://www.goodreads.com/quotes/428038-raise-your-words-not-voice-it-is-rain-that-grows</w:t>
        </w:r>
      </w:hyperlink>
    </w:p>
    <w:p w14:paraId="32F18AB4" w14:textId="49060DEE" w:rsidR="00454452" w:rsidRDefault="00027E53" w:rsidP="00454452">
      <w:pPr>
        <w:pStyle w:val="EndnoteText"/>
        <w:rPr>
          <w:rFonts w:ascii="Arial" w:hAnsi="Arial" w:cs="Arial"/>
          <w:sz w:val="18"/>
          <w:szCs w:val="18"/>
        </w:rPr>
      </w:pPr>
      <w:hyperlink r:id="rId6" w:history="1">
        <w:r w:rsidR="00454452" w:rsidRPr="001B3F49">
          <w:rPr>
            <w:rStyle w:val="Hyperlink"/>
            <w:rFonts w:ascii="Arial" w:hAnsi="Arial" w:cs="Arial"/>
            <w:sz w:val="18"/>
            <w:szCs w:val="18"/>
          </w:rPr>
          <w:t>https://www.federalreserve.gov/monetarypolicy/files/monetary20210728a1.pdf</w:t>
        </w:r>
      </w:hyperlink>
    </w:p>
    <w:p w14:paraId="7762F214" w14:textId="0D246A13" w:rsidR="00454452" w:rsidRDefault="00027E53" w:rsidP="00454452">
      <w:pPr>
        <w:pStyle w:val="EndnoteText"/>
        <w:rPr>
          <w:rFonts w:ascii="Arial" w:hAnsi="Arial" w:cs="Arial"/>
          <w:sz w:val="18"/>
          <w:szCs w:val="18"/>
        </w:rPr>
      </w:pPr>
      <w:hyperlink r:id="rId7" w:history="1">
        <w:r w:rsidR="00454452" w:rsidRPr="001B3F49">
          <w:rPr>
            <w:rStyle w:val="Hyperlink"/>
            <w:rFonts w:ascii="Arial" w:hAnsi="Arial" w:cs="Arial"/>
            <w:sz w:val="18"/>
            <w:szCs w:val="18"/>
          </w:rPr>
          <w:t>https://www.federalreserve.gov/newsevents/speech/powell20210827a.htm</w:t>
        </w:r>
      </w:hyperlink>
    </w:p>
    <w:p w14:paraId="29EDEF8A" w14:textId="6FA0F6AE" w:rsidR="00454452" w:rsidRDefault="00027E53" w:rsidP="00454452">
      <w:pPr>
        <w:pStyle w:val="EndnoteText"/>
        <w:rPr>
          <w:rFonts w:ascii="Arial" w:hAnsi="Arial" w:cs="Arial"/>
          <w:sz w:val="18"/>
          <w:szCs w:val="18"/>
        </w:rPr>
      </w:pPr>
      <w:hyperlink r:id="rId8" w:history="1">
        <w:r w:rsidR="00454452" w:rsidRPr="001B3F49">
          <w:rPr>
            <w:rStyle w:val="Hyperlink"/>
            <w:rFonts w:ascii="Arial" w:hAnsi="Arial" w:cs="Arial"/>
            <w:sz w:val="18"/>
            <w:szCs w:val="18"/>
          </w:rPr>
          <w:t>https://www.investopedia.com/terms/f/federalfundsrate.asp</w:t>
        </w:r>
      </w:hyperlink>
    </w:p>
    <w:p w14:paraId="280B47CB" w14:textId="334B6CFD" w:rsidR="00454452" w:rsidRDefault="00027E53" w:rsidP="00454452">
      <w:pPr>
        <w:pStyle w:val="EndnoteText"/>
        <w:rPr>
          <w:rFonts w:ascii="Arial" w:hAnsi="Arial" w:cs="Arial"/>
          <w:sz w:val="18"/>
          <w:szCs w:val="18"/>
        </w:rPr>
      </w:pPr>
      <w:hyperlink r:id="rId9" w:history="1">
        <w:r w:rsidR="00454452" w:rsidRPr="001B3F49">
          <w:rPr>
            <w:rStyle w:val="Hyperlink"/>
            <w:rFonts w:ascii="Arial" w:hAnsi="Arial" w:cs="Arial"/>
            <w:sz w:val="18"/>
            <w:szCs w:val="18"/>
          </w:rPr>
          <w:t>https://www.bea.gov/news/2021/gross-domestic-product-2nd-quarter-2021-second-estimate-corporate-profits-2nd-quarter</w:t>
        </w:r>
      </w:hyperlink>
    </w:p>
    <w:p w14:paraId="53CDF53C" w14:textId="3959562A" w:rsidR="00454452" w:rsidRDefault="00027E53" w:rsidP="00454452">
      <w:pPr>
        <w:pStyle w:val="EndnoteText"/>
        <w:rPr>
          <w:rFonts w:ascii="Arial" w:hAnsi="Arial" w:cs="Arial"/>
          <w:sz w:val="18"/>
          <w:szCs w:val="18"/>
        </w:rPr>
      </w:pPr>
      <w:hyperlink r:id="rId10" w:history="1">
        <w:r w:rsidR="00454452" w:rsidRPr="001B3F49">
          <w:rPr>
            <w:rStyle w:val="Hyperlink"/>
            <w:rFonts w:ascii="Arial" w:hAnsi="Arial" w:cs="Arial"/>
            <w:sz w:val="18"/>
            <w:szCs w:val="18"/>
          </w:rPr>
          <w:t>https://lipperalpha.refinitiv.com/wp-content/uploads/2021/08/TRPR_82221_608.pdf</w:t>
        </w:r>
      </w:hyperlink>
    </w:p>
    <w:p w14:paraId="1F45EB5F" w14:textId="4EF57369" w:rsidR="00454452" w:rsidRDefault="00027E53" w:rsidP="00454452">
      <w:pPr>
        <w:pStyle w:val="EndnoteText"/>
        <w:rPr>
          <w:rFonts w:ascii="Arial" w:hAnsi="Arial" w:cs="Arial"/>
          <w:sz w:val="18"/>
          <w:szCs w:val="18"/>
        </w:rPr>
      </w:pPr>
      <w:hyperlink r:id="rId11" w:history="1">
        <w:r w:rsidR="00454452" w:rsidRPr="001B3F49">
          <w:rPr>
            <w:rStyle w:val="Hyperlink"/>
            <w:rFonts w:ascii="Arial" w:hAnsi="Arial" w:cs="Arial"/>
            <w:sz w:val="18"/>
            <w:szCs w:val="18"/>
          </w:rPr>
          <w:t>https://www.reuters.com/business/wall-st-week-ahead-blazing-us-stock-rally-faces-markets-toughest-month-2021-08-27/</w:t>
        </w:r>
      </w:hyperlink>
    </w:p>
    <w:p w14:paraId="5863568E" w14:textId="4272F388" w:rsidR="00454452" w:rsidRDefault="00027E53" w:rsidP="00454452">
      <w:pPr>
        <w:pStyle w:val="EndnoteText"/>
        <w:rPr>
          <w:rFonts w:ascii="Arial" w:hAnsi="Arial" w:cs="Arial"/>
          <w:sz w:val="18"/>
          <w:szCs w:val="18"/>
        </w:rPr>
      </w:pPr>
      <w:hyperlink r:id="rId12" w:history="1">
        <w:r w:rsidR="00454452" w:rsidRPr="001B3F49">
          <w:rPr>
            <w:rStyle w:val="Hyperlink"/>
            <w:rFonts w:ascii="Arial" w:hAnsi="Arial" w:cs="Arial"/>
            <w:sz w:val="18"/>
            <w:szCs w:val="18"/>
          </w:rPr>
          <w:t>https://www.barrons.com/market-data?mod=BOL_TOPNAV</w:t>
        </w:r>
      </w:hyperlink>
      <w:r w:rsidR="00454452">
        <w:rPr>
          <w:rFonts w:ascii="Arial" w:hAnsi="Arial" w:cs="Arial"/>
          <w:sz w:val="18"/>
          <w:szCs w:val="18"/>
        </w:rPr>
        <w:t xml:space="preserve"> (</w:t>
      </w:r>
      <w:r w:rsidR="00454452" w:rsidRPr="001E327F">
        <w:rPr>
          <w:rFonts w:ascii="Arial" w:hAnsi="Arial" w:cs="Arial"/>
          <w:i/>
          <w:iCs/>
          <w:sz w:val="18"/>
          <w:szCs w:val="18"/>
        </w:rPr>
        <w:t>or go to</w:t>
      </w:r>
      <w:r w:rsidR="00454452" w:rsidRPr="001E327F">
        <w:rPr>
          <w:rFonts w:ascii="Arial" w:hAnsi="Arial" w:cs="Arial"/>
          <w:sz w:val="18"/>
          <w:szCs w:val="18"/>
        </w:rPr>
        <w:t xml:space="preserve"> </w:t>
      </w:r>
      <w:hyperlink r:id="rId13" w:history="1">
        <w:r w:rsidR="00454452" w:rsidRPr="001B3F49">
          <w:rPr>
            <w:rStyle w:val="Hyperlink"/>
            <w:rFonts w:ascii="Arial" w:hAnsi="Arial" w:cs="Arial"/>
            <w:sz w:val="18"/>
            <w:szCs w:val="18"/>
          </w:rPr>
          <w:t>https://resources.carsongroup.com/hubfs/WMC-Source/2021/08-30-21_Barrons_Overview_8.pdf</w:t>
        </w:r>
      </w:hyperlink>
      <w:r w:rsidR="00454452" w:rsidRPr="001E327F">
        <w:rPr>
          <w:rFonts w:ascii="Arial" w:hAnsi="Arial" w:cs="Arial"/>
          <w:sz w:val="18"/>
          <w:szCs w:val="18"/>
        </w:rPr>
        <w:t>)</w:t>
      </w:r>
    </w:p>
    <w:p w14:paraId="75FC6484" w14:textId="73B6AF60" w:rsidR="00454452" w:rsidRDefault="00027E53" w:rsidP="00454452">
      <w:pPr>
        <w:pStyle w:val="EndnoteText"/>
        <w:rPr>
          <w:rFonts w:ascii="Arial" w:hAnsi="Arial" w:cs="Arial"/>
          <w:sz w:val="18"/>
          <w:szCs w:val="18"/>
        </w:rPr>
      </w:pPr>
      <w:hyperlink r:id="rId14" w:history="1">
        <w:r w:rsidR="00454452" w:rsidRPr="001B3F49">
          <w:rPr>
            <w:rStyle w:val="Hyperlink"/>
            <w:rFonts w:ascii="Arial" w:hAnsi="Arial" w:cs="Arial"/>
            <w:sz w:val="18"/>
            <w:szCs w:val="18"/>
          </w:rPr>
          <w:t>https://www.treasury.gov/resource-center/data-chart-center/interest-rates/Pages/TextView.aspx?data=yield</w:t>
        </w:r>
      </w:hyperlink>
    </w:p>
    <w:p w14:paraId="6EA92179" w14:textId="31751516" w:rsidR="00454452" w:rsidRDefault="00027E53" w:rsidP="00454452">
      <w:pPr>
        <w:pStyle w:val="EndnoteText"/>
        <w:rPr>
          <w:rFonts w:ascii="Arial" w:hAnsi="Arial" w:cs="Arial"/>
          <w:sz w:val="18"/>
          <w:szCs w:val="18"/>
        </w:rPr>
      </w:pPr>
      <w:hyperlink r:id="rId15" w:history="1">
        <w:r w:rsidR="00454452" w:rsidRPr="001B3F49">
          <w:rPr>
            <w:rStyle w:val="Hyperlink"/>
            <w:rFonts w:ascii="Arial" w:hAnsi="Arial" w:cs="Arial"/>
            <w:sz w:val="18"/>
            <w:szCs w:val="18"/>
          </w:rPr>
          <w:t>https://gflec.org/wp-content/uploads/2020/04/TIAA-Institute-GFLEC_2020-P-Fin-Index_April-2020.pdf?x20437</w:t>
        </w:r>
      </w:hyperlink>
    </w:p>
    <w:p w14:paraId="6976132B" w14:textId="66D917DB" w:rsidR="00454452" w:rsidRDefault="00027E53" w:rsidP="00454452">
      <w:pPr>
        <w:pStyle w:val="EndnoteText"/>
        <w:rPr>
          <w:rFonts w:ascii="Arial" w:hAnsi="Arial" w:cs="Arial"/>
          <w:sz w:val="18"/>
          <w:szCs w:val="18"/>
        </w:rPr>
      </w:pPr>
      <w:hyperlink r:id="rId16" w:history="1">
        <w:r w:rsidR="00454452" w:rsidRPr="001B3F49">
          <w:rPr>
            <w:rStyle w:val="Hyperlink"/>
            <w:rFonts w:ascii="Arial" w:hAnsi="Arial" w:cs="Arial"/>
            <w:sz w:val="18"/>
            <w:szCs w:val="18"/>
          </w:rPr>
          <w:t>https://www.investopedia.com/terms/s/stockmarket.asp</w:t>
        </w:r>
      </w:hyperlink>
    </w:p>
    <w:p w14:paraId="71CA4E55" w14:textId="6B52E99D" w:rsidR="00454452" w:rsidRDefault="00027E53" w:rsidP="00454452">
      <w:pPr>
        <w:pStyle w:val="EndnoteText"/>
        <w:rPr>
          <w:rFonts w:ascii="Arial" w:hAnsi="Arial" w:cs="Arial"/>
          <w:sz w:val="18"/>
          <w:szCs w:val="18"/>
        </w:rPr>
      </w:pPr>
      <w:hyperlink r:id="rId17" w:history="1">
        <w:r w:rsidR="00454452" w:rsidRPr="001B3F49">
          <w:rPr>
            <w:rStyle w:val="Hyperlink"/>
            <w:rFonts w:ascii="Arial" w:hAnsi="Arial" w:cs="Arial"/>
            <w:sz w:val="18"/>
            <w:szCs w:val="18"/>
          </w:rPr>
          <w:t>https://www.goodreads.com/author/quotes/1438.Walt_Whitman</w:t>
        </w:r>
      </w:hyperlink>
    </w:p>
    <w:p w14:paraId="792BFA6D" w14:textId="4DDE7C49" w:rsidR="00454452" w:rsidRDefault="00027E53" w:rsidP="00454452">
      <w:pPr>
        <w:pStyle w:val="EndnoteText"/>
        <w:rPr>
          <w:rFonts w:ascii="Arial" w:hAnsi="Arial" w:cs="Arial"/>
          <w:sz w:val="18"/>
          <w:szCs w:val="18"/>
        </w:rPr>
      </w:pPr>
      <w:hyperlink r:id="rId18" w:history="1">
        <w:r w:rsidR="00454452" w:rsidRPr="001B3F49">
          <w:rPr>
            <w:rStyle w:val="Hyperlink"/>
            <w:rFonts w:ascii="Arial" w:hAnsi="Arial" w:cs="Arial"/>
            <w:sz w:val="18"/>
            <w:szCs w:val="18"/>
          </w:rPr>
          <w:t>https://www.investopedia.com/terms/b/bullmarket.asp</w:t>
        </w:r>
      </w:hyperlink>
    </w:p>
    <w:p w14:paraId="27332900" w14:textId="1E0556C5" w:rsidR="00454452" w:rsidRDefault="00027E53" w:rsidP="00454452">
      <w:pPr>
        <w:pStyle w:val="EndnoteText"/>
        <w:rPr>
          <w:rFonts w:ascii="Arial" w:hAnsi="Arial" w:cs="Arial"/>
          <w:sz w:val="18"/>
          <w:szCs w:val="18"/>
        </w:rPr>
      </w:pPr>
      <w:hyperlink r:id="rId19" w:history="1">
        <w:r w:rsidR="00454452" w:rsidRPr="001B3F49">
          <w:rPr>
            <w:rStyle w:val="Hyperlink"/>
            <w:rFonts w:ascii="Arial" w:hAnsi="Arial" w:cs="Arial"/>
            <w:sz w:val="18"/>
            <w:szCs w:val="18"/>
          </w:rPr>
          <w:t>https://www.investopedia.com/terms/s/shareholder.asp</w:t>
        </w:r>
      </w:hyperlink>
    </w:p>
    <w:p w14:paraId="70B8B326" w14:textId="721EADFA" w:rsidR="00454452" w:rsidRDefault="00027E53" w:rsidP="00454452">
      <w:pPr>
        <w:pStyle w:val="EndnoteText"/>
        <w:rPr>
          <w:rFonts w:ascii="Arial" w:hAnsi="Arial" w:cs="Arial"/>
          <w:sz w:val="18"/>
          <w:szCs w:val="18"/>
        </w:rPr>
      </w:pPr>
      <w:hyperlink r:id="rId20" w:history="1">
        <w:r w:rsidR="00454452" w:rsidRPr="001B3F49">
          <w:rPr>
            <w:rStyle w:val="Hyperlink"/>
            <w:rFonts w:ascii="Arial" w:hAnsi="Arial" w:cs="Arial"/>
            <w:sz w:val="18"/>
            <w:szCs w:val="18"/>
          </w:rPr>
          <w:t>https://www.investopedia.com/articles/active-trading/111114/preferred-stocks-versus-bonds-how-choose.asp</w:t>
        </w:r>
      </w:hyperlink>
    </w:p>
    <w:p w14:paraId="78BDA3F3" w14:textId="2D716439" w:rsidR="00454452" w:rsidRDefault="00027E53" w:rsidP="00454452">
      <w:pPr>
        <w:pStyle w:val="EndnoteText"/>
        <w:rPr>
          <w:rFonts w:ascii="Arial" w:hAnsi="Arial" w:cs="Arial"/>
          <w:sz w:val="18"/>
          <w:szCs w:val="18"/>
        </w:rPr>
      </w:pPr>
      <w:hyperlink r:id="rId21" w:history="1">
        <w:r w:rsidR="00454452" w:rsidRPr="001B3F49">
          <w:rPr>
            <w:rStyle w:val="Hyperlink"/>
            <w:rFonts w:ascii="Arial" w:hAnsi="Arial" w:cs="Arial"/>
            <w:sz w:val="18"/>
            <w:szCs w:val="18"/>
          </w:rPr>
          <w:t>https://www.investopedia.com/terms/c/correction.asp</w:t>
        </w:r>
      </w:hyperlink>
    </w:p>
    <w:p w14:paraId="1E4797E4" w14:textId="6692EBEA" w:rsidR="00454452" w:rsidRDefault="00027E53" w:rsidP="00454452">
      <w:pPr>
        <w:pStyle w:val="EndnoteText"/>
        <w:rPr>
          <w:rFonts w:ascii="Arial" w:hAnsi="Arial" w:cs="Arial"/>
          <w:sz w:val="18"/>
          <w:szCs w:val="18"/>
        </w:rPr>
      </w:pPr>
      <w:hyperlink r:id="rId22" w:history="1">
        <w:r w:rsidR="00454452" w:rsidRPr="001B3F49">
          <w:rPr>
            <w:rStyle w:val="Hyperlink"/>
            <w:rFonts w:ascii="Arial" w:hAnsi="Arial" w:cs="Arial"/>
            <w:sz w:val="18"/>
            <w:szCs w:val="18"/>
          </w:rPr>
          <w:t>https://www.investopedia.com/ask/answers/012815/what-assets-are-most-risky-and-what-assets-are-safest.asp</w:t>
        </w:r>
      </w:hyperlink>
    </w:p>
    <w:p w14:paraId="3B9ACDFC" w14:textId="63239188" w:rsidR="00454452" w:rsidRDefault="00027E53" w:rsidP="00454452">
      <w:pPr>
        <w:pStyle w:val="EndnoteText"/>
        <w:rPr>
          <w:rFonts w:ascii="Arial" w:hAnsi="Arial" w:cs="Arial"/>
          <w:sz w:val="18"/>
          <w:szCs w:val="18"/>
        </w:rPr>
      </w:pPr>
      <w:hyperlink r:id="rId23" w:history="1">
        <w:r w:rsidR="00454452" w:rsidRPr="001B3F49">
          <w:rPr>
            <w:rStyle w:val="Hyperlink"/>
            <w:rFonts w:ascii="Arial" w:hAnsi="Arial" w:cs="Arial"/>
            <w:sz w:val="18"/>
            <w:szCs w:val="18"/>
          </w:rPr>
          <w:t>https://www.upcounsel.com/why-do-corporations-issue-stock</w:t>
        </w:r>
      </w:hyperlink>
    </w:p>
    <w:p w14:paraId="3CDD1350" w14:textId="77777777" w:rsidR="00454452" w:rsidRPr="001E327F" w:rsidRDefault="00454452" w:rsidP="00454452">
      <w:pPr>
        <w:pStyle w:val="EndnoteText"/>
        <w:rPr>
          <w:rFonts w:ascii="Arial" w:hAnsi="Arial" w:cs="Arial"/>
          <w:sz w:val="18"/>
          <w:szCs w:val="18"/>
        </w:rPr>
      </w:pPr>
    </w:p>
    <w:p w14:paraId="66C2295B" w14:textId="77777777" w:rsidR="00441CE6" w:rsidRPr="0056229A" w:rsidRDefault="00441CE6" w:rsidP="0045445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8"/>
  </w:num>
  <w:num w:numId="5">
    <w:abstractNumId w:val="19"/>
  </w:num>
  <w:num w:numId="6">
    <w:abstractNumId w:val="12"/>
  </w:num>
  <w:num w:numId="7">
    <w:abstractNumId w:val="9"/>
  </w:num>
  <w:num w:numId="8">
    <w:abstractNumId w:val="14"/>
  </w:num>
  <w:num w:numId="9">
    <w:abstractNumId w:val="5"/>
  </w:num>
  <w:num w:numId="10">
    <w:abstractNumId w:val="6"/>
  </w:num>
  <w:num w:numId="11">
    <w:abstractNumId w:val="29"/>
  </w:num>
  <w:num w:numId="12">
    <w:abstractNumId w:val="26"/>
  </w:num>
  <w:num w:numId="13">
    <w:abstractNumId w:val="7"/>
  </w:num>
  <w:num w:numId="14">
    <w:abstractNumId w:val="25"/>
  </w:num>
  <w:num w:numId="15">
    <w:abstractNumId w:val="30"/>
  </w:num>
  <w:num w:numId="16">
    <w:abstractNumId w:val="21"/>
  </w:num>
  <w:num w:numId="17">
    <w:abstractNumId w:val="15"/>
  </w:num>
  <w:num w:numId="18">
    <w:abstractNumId w:val="0"/>
  </w:num>
  <w:num w:numId="19">
    <w:abstractNumId w:val="8"/>
  </w:num>
  <w:num w:numId="20">
    <w:abstractNumId w:val="28"/>
  </w:num>
  <w:num w:numId="21">
    <w:abstractNumId w:val="11"/>
  </w:num>
  <w:num w:numId="22">
    <w:abstractNumId w:val="3"/>
  </w:num>
  <w:num w:numId="23">
    <w:abstractNumId w:val="23"/>
  </w:num>
  <w:num w:numId="24">
    <w:abstractNumId w:val="17"/>
  </w:num>
  <w:num w:numId="25">
    <w:abstractNumId w:val="22"/>
  </w:num>
  <w:num w:numId="26">
    <w:abstractNumId w:val="20"/>
  </w:num>
  <w:num w:numId="27">
    <w:abstractNumId w:val="24"/>
  </w:num>
  <w:num w:numId="28">
    <w:abstractNumId w:val="27"/>
  </w:num>
  <w:num w:numId="29">
    <w:abstractNumId w:val="10"/>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27E53"/>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5C1F"/>
    <w:rsid w:val="0088601B"/>
    <w:rsid w:val="00886873"/>
    <w:rsid w:val="008977E9"/>
    <w:rsid w:val="008A0A38"/>
    <w:rsid w:val="008A11C5"/>
    <w:rsid w:val="008A3F22"/>
    <w:rsid w:val="008A7CD8"/>
    <w:rsid w:val="008B073A"/>
    <w:rsid w:val="008B3B2C"/>
    <w:rsid w:val="008B3E93"/>
    <w:rsid w:val="008B45AD"/>
    <w:rsid w:val="008C06EB"/>
    <w:rsid w:val="008C4339"/>
    <w:rsid w:val="008C6053"/>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027E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f/federalfundsrate.asp" TargetMode="External"/><Relationship Id="rId13" Type="http://schemas.openxmlformats.org/officeDocument/2006/relationships/hyperlink" Target="https://resources.carsongroup.com/hubfs/WMC-Source/2021/08-30-21_Barrons_Overview_8.pdf" TargetMode="External"/><Relationship Id="rId18" Type="http://schemas.openxmlformats.org/officeDocument/2006/relationships/hyperlink" Target="https://www.investopedia.com/terms/b/bullmarket.asp" TargetMode="External"/><Relationship Id="rId3" Type="http://schemas.openxmlformats.org/officeDocument/2006/relationships/settings" Target="settings.xml"/><Relationship Id="rId21" Type="http://schemas.openxmlformats.org/officeDocument/2006/relationships/hyperlink" Target="https://www.investopedia.com/terms/c/correction.asp" TargetMode="External"/><Relationship Id="rId7" Type="http://schemas.openxmlformats.org/officeDocument/2006/relationships/hyperlink" Target="https://www.federalreserve.gov/newsevents/speech/powell20210827a.htm" TargetMode="External"/><Relationship Id="rId12" Type="http://schemas.openxmlformats.org/officeDocument/2006/relationships/hyperlink" Target="https://www.barrons.com/market-data?mod=BOL_TOPNAV" TargetMode="External"/><Relationship Id="rId17" Type="http://schemas.openxmlformats.org/officeDocument/2006/relationships/hyperlink" Target="https://www.goodreads.com/author/quotes/1438.Walt_Whitm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vestopedia.com/terms/s/stockmarket.asp" TargetMode="External"/><Relationship Id="rId20" Type="http://schemas.openxmlformats.org/officeDocument/2006/relationships/hyperlink" Target="https://www.investopedia.com/articles/active-trading/111114/preferred-stocks-versus-bonds-how-choose.asp" TargetMode="External"/><Relationship Id="rId1" Type="http://schemas.openxmlformats.org/officeDocument/2006/relationships/numbering" Target="numbering.xml"/><Relationship Id="rId6" Type="http://schemas.openxmlformats.org/officeDocument/2006/relationships/hyperlink" Target="https://www.federalreserve.gov/monetarypolicy/files/monetary20210728a1.pdf" TargetMode="External"/><Relationship Id="rId11" Type="http://schemas.openxmlformats.org/officeDocument/2006/relationships/hyperlink" Target="https://www.reuters.com/business/wall-st-week-ahead-blazing-us-stock-rally-faces-markets-toughest-month-2021-08-27/" TargetMode="External"/><Relationship Id="rId24" Type="http://schemas.openxmlformats.org/officeDocument/2006/relationships/fontTable" Target="fontTable.xml"/><Relationship Id="rId5" Type="http://schemas.openxmlformats.org/officeDocument/2006/relationships/hyperlink" Target="https://www.goodreads.com/quotes/428038-raise-your-words-not-voice-it-is-rain-that-grows" TargetMode="External"/><Relationship Id="rId15" Type="http://schemas.openxmlformats.org/officeDocument/2006/relationships/hyperlink" Target="https://gflec.org/wp-content/uploads/2020/04/TIAA-Institute-GFLEC_2020-P-Fin-Index_April-2020.pdf?x20437" TargetMode="External"/><Relationship Id="rId23" Type="http://schemas.openxmlformats.org/officeDocument/2006/relationships/hyperlink" Target="https://www.upcounsel.com/why-do-corporations-issue-stock" TargetMode="External"/><Relationship Id="rId10" Type="http://schemas.openxmlformats.org/officeDocument/2006/relationships/hyperlink" Target="https://lipperalpha.refinitiv.com/wp-content/uploads/2021/08/TRPR_82221_608.pdf" TargetMode="External"/><Relationship Id="rId19" Type="http://schemas.openxmlformats.org/officeDocument/2006/relationships/hyperlink" Target="https://www.investopedia.com/terms/s/shareholder.asp" TargetMode="External"/><Relationship Id="rId4" Type="http://schemas.openxmlformats.org/officeDocument/2006/relationships/webSettings" Target="webSettings.xml"/><Relationship Id="rId9" Type="http://schemas.openxmlformats.org/officeDocument/2006/relationships/hyperlink" Target="https://www.bea.gov/news/2021/gross-domestic-product-2nd-quarter-2021-second-estimate-corporate-profits-2nd-quarter" TargetMode="External"/><Relationship Id="rId14" Type="http://schemas.openxmlformats.org/officeDocument/2006/relationships/hyperlink" Target="https://www.treasury.gov/resource-center/data-chart-center/interest-rates/Pages/TextView.aspx?data=yield" TargetMode="External"/><Relationship Id="rId22" Type="http://schemas.openxmlformats.org/officeDocument/2006/relationships/hyperlink" Target="https://www.investopedia.com/ask/answers/012815/what-assets-are-most-risky-and-what-assets-are-safe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2021-08-31T18:20:00Z</dcterms:created>
  <dcterms:modified xsi:type="dcterms:W3CDTF">2021-08-31T18:20:00Z</dcterms:modified>
</cp:coreProperties>
</file>