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2D72" w14:textId="77777777" w:rsidR="00976BFC" w:rsidRPr="0036086B" w:rsidRDefault="00976BFC" w:rsidP="00976BFC">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CA24DA6" w14:textId="77777777" w:rsidR="00976BFC" w:rsidRPr="0036086B" w:rsidRDefault="00976BFC" w:rsidP="00976BFC">
      <w:pPr>
        <w:tabs>
          <w:tab w:val="left" w:pos="8550"/>
        </w:tabs>
        <w:jc w:val="center"/>
        <w:rPr>
          <w:rFonts w:ascii="Arial" w:hAnsi="Arial" w:cs="Arial"/>
          <w:b/>
          <w:bCs/>
          <w:color w:val="0D304A"/>
          <w:sz w:val="32"/>
          <w:szCs w:val="32"/>
        </w:rPr>
      </w:pPr>
      <w:r>
        <w:rPr>
          <w:rFonts w:ascii="Arial" w:hAnsi="Arial" w:cs="Arial"/>
          <w:b/>
          <w:bCs/>
          <w:color w:val="0D304A"/>
          <w:sz w:val="32"/>
          <w:szCs w:val="32"/>
        </w:rPr>
        <w:t>November 15</w:t>
      </w:r>
      <w:r w:rsidRPr="0036086B">
        <w:rPr>
          <w:rFonts w:ascii="Arial" w:hAnsi="Arial" w:cs="Arial"/>
          <w:b/>
          <w:bCs/>
          <w:color w:val="0D304A"/>
          <w:sz w:val="32"/>
          <w:szCs w:val="32"/>
        </w:rPr>
        <w:t>, 2021</w:t>
      </w:r>
    </w:p>
    <w:p w14:paraId="6989ADF9" w14:textId="77777777" w:rsidR="00976BFC" w:rsidRPr="008D4858" w:rsidRDefault="00976BFC" w:rsidP="00976BFC">
      <w:pPr>
        <w:tabs>
          <w:tab w:val="left" w:pos="8550"/>
        </w:tabs>
        <w:jc w:val="center"/>
        <w:rPr>
          <w:rFonts w:ascii="Arial" w:hAnsi="Arial" w:cs="Arial"/>
          <w:b/>
          <w:bCs/>
          <w:color w:val="639D3F"/>
          <w:sz w:val="20"/>
          <w:szCs w:val="20"/>
        </w:rPr>
      </w:pPr>
    </w:p>
    <w:p w14:paraId="61E40D09" w14:textId="77777777" w:rsidR="00976BFC" w:rsidRPr="0036086B" w:rsidRDefault="00976BFC" w:rsidP="00976BFC">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04D4FB79" w14:textId="77777777" w:rsidR="00976BFC" w:rsidRPr="008D4858" w:rsidRDefault="00976BFC" w:rsidP="00976BFC">
      <w:pPr>
        <w:tabs>
          <w:tab w:val="left" w:pos="8550"/>
        </w:tabs>
        <w:rPr>
          <w:rFonts w:ascii="Arial" w:hAnsi="Arial" w:cs="Arial"/>
          <w:bCs/>
          <w:color w:val="000000" w:themeColor="text1"/>
          <w:sz w:val="16"/>
          <w:szCs w:val="16"/>
        </w:rPr>
      </w:pPr>
    </w:p>
    <w:p w14:paraId="79C00554" w14:textId="77777777" w:rsidR="00976BFC" w:rsidRDefault="00976BFC" w:rsidP="00976BF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Economists like to joke that inflation is just right when no one notices it. </w:t>
      </w:r>
    </w:p>
    <w:p w14:paraId="56996671" w14:textId="77777777" w:rsidR="00976BFC" w:rsidRPr="008D4858" w:rsidRDefault="00976BFC" w:rsidP="00976BFC">
      <w:pPr>
        <w:tabs>
          <w:tab w:val="left" w:pos="8550"/>
        </w:tabs>
        <w:rPr>
          <w:rFonts w:ascii="Arial" w:hAnsi="Arial" w:cs="Arial"/>
          <w:bCs/>
          <w:color w:val="000000" w:themeColor="text1"/>
          <w:sz w:val="16"/>
          <w:szCs w:val="16"/>
        </w:rPr>
      </w:pPr>
    </w:p>
    <w:p w14:paraId="55FBF1DD" w14:textId="0479B2A9" w:rsidR="00976BFC" w:rsidRDefault="00976BFC" w:rsidP="00976BFC">
      <w:pPr>
        <w:rPr>
          <w:rFonts w:ascii="Arial" w:hAnsi="Arial" w:cs="Arial"/>
          <w:bCs/>
          <w:color w:val="000000" w:themeColor="text1"/>
          <w:sz w:val="22"/>
          <w:szCs w:val="22"/>
        </w:rPr>
      </w:pPr>
      <w:r>
        <w:rPr>
          <w:rFonts w:ascii="Arial" w:hAnsi="Arial" w:cs="Arial"/>
          <w:bCs/>
          <w:color w:val="000000" w:themeColor="text1"/>
          <w:sz w:val="22"/>
          <w:szCs w:val="22"/>
        </w:rPr>
        <w:t xml:space="preserve">Last week, investors noticed it. The Consumer Price Index (CPI), which is a measure of inflation, rose 0.9 percent in October and 6.2 percent over the last 12 months, according to the </w:t>
      </w:r>
      <w:r w:rsidRPr="00A35F16">
        <w:rPr>
          <w:rFonts w:ascii="Arial" w:hAnsi="Arial" w:cs="Arial"/>
          <w:bCs/>
          <w:color w:val="000000" w:themeColor="text1"/>
          <w:sz w:val="22"/>
          <w:szCs w:val="22"/>
        </w:rPr>
        <w:t>Bureau of Labor Statistics.</w:t>
      </w:r>
      <w:r>
        <w:rPr>
          <w:rFonts w:ascii="Arial" w:hAnsi="Arial" w:cs="Arial"/>
          <w:bCs/>
          <w:color w:val="000000" w:themeColor="text1"/>
          <w:sz w:val="22"/>
          <w:szCs w:val="22"/>
        </w:rPr>
        <w:t xml:space="preserve"> (When volatile food and energy prices were excluded, the CPI was 4.6 percent for the period.)</w:t>
      </w:r>
    </w:p>
    <w:p w14:paraId="3D7A8BF1" w14:textId="77777777" w:rsidR="00976BFC" w:rsidRPr="008D4858" w:rsidRDefault="00976BFC" w:rsidP="00976BFC">
      <w:pPr>
        <w:tabs>
          <w:tab w:val="left" w:pos="8550"/>
        </w:tabs>
        <w:rPr>
          <w:rFonts w:ascii="Arial" w:hAnsi="Arial" w:cs="Arial"/>
          <w:bCs/>
          <w:color w:val="000000" w:themeColor="text1"/>
          <w:sz w:val="16"/>
          <w:szCs w:val="16"/>
        </w:rPr>
      </w:pPr>
    </w:p>
    <w:p w14:paraId="21578288" w14:textId="447D87D8" w:rsidR="00976BFC" w:rsidRDefault="00976BFC" w:rsidP="00976BF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That’s the highest level for inflation in 30 years, according to </w:t>
      </w:r>
      <w:r w:rsidRPr="00C35825">
        <w:rPr>
          <w:rFonts w:ascii="Arial" w:hAnsi="Arial" w:cs="Arial"/>
          <w:bCs/>
          <w:i/>
          <w:iCs/>
          <w:color w:val="000000" w:themeColor="text1"/>
          <w:sz w:val="22"/>
          <w:szCs w:val="22"/>
        </w:rPr>
        <w:t>The Economist</w:t>
      </w:r>
      <w:r>
        <w:rPr>
          <w:rFonts w:ascii="Arial" w:hAnsi="Arial" w:cs="Arial"/>
          <w:bCs/>
          <w:color w:val="000000" w:themeColor="text1"/>
          <w:sz w:val="22"/>
          <w:szCs w:val="22"/>
        </w:rPr>
        <w:t>, and well above the United States Federal Reserve’s policy goal of two percent inflation over the longer term.</w:t>
      </w:r>
    </w:p>
    <w:p w14:paraId="3537570D" w14:textId="77777777" w:rsidR="00976BFC" w:rsidRPr="008D4858" w:rsidRDefault="00976BFC" w:rsidP="00976BFC">
      <w:pPr>
        <w:tabs>
          <w:tab w:val="left" w:pos="8550"/>
        </w:tabs>
        <w:rPr>
          <w:rFonts w:ascii="Arial" w:hAnsi="Arial" w:cs="Arial"/>
          <w:bCs/>
          <w:color w:val="000000" w:themeColor="text1"/>
          <w:sz w:val="16"/>
          <w:szCs w:val="16"/>
        </w:rPr>
      </w:pPr>
    </w:p>
    <w:p w14:paraId="271357AE" w14:textId="77777777" w:rsidR="00976BFC" w:rsidRDefault="00976BFC" w:rsidP="00976BF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Uncertainty about the nature of inflation has left the U.S. Federal Reserve wedged in an uncomfortable policy position. </w:t>
      </w:r>
      <w:r w:rsidRPr="00E72A9D">
        <w:rPr>
          <w:rFonts w:ascii="Arial" w:hAnsi="Arial" w:cs="Arial"/>
          <w:bCs/>
          <w:i/>
          <w:iCs/>
          <w:color w:val="000000" w:themeColor="text1"/>
          <w:sz w:val="22"/>
          <w:szCs w:val="22"/>
        </w:rPr>
        <w:t>The Economist</w:t>
      </w:r>
      <w:r>
        <w:rPr>
          <w:rFonts w:ascii="Arial" w:hAnsi="Arial" w:cs="Arial"/>
          <w:bCs/>
          <w:color w:val="000000" w:themeColor="text1"/>
          <w:sz w:val="22"/>
          <w:szCs w:val="22"/>
        </w:rPr>
        <w:t xml:space="preserve"> explained:  </w:t>
      </w:r>
    </w:p>
    <w:p w14:paraId="2C176C67" w14:textId="77777777" w:rsidR="00976BFC" w:rsidRPr="008D4858" w:rsidRDefault="00976BFC" w:rsidP="00976BFC">
      <w:pPr>
        <w:tabs>
          <w:tab w:val="left" w:pos="8550"/>
        </w:tabs>
        <w:rPr>
          <w:rFonts w:ascii="Arial" w:hAnsi="Arial" w:cs="Arial"/>
          <w:bCs/>
          <w:color w:val="000000" w:themeColor="text1"/>
          <w:sz w:val="16"/>
          <w:szCs w:val="16"/>
        </w:rPr>
      </w:pPr>
    </w:p>
    <w:p w14:paraId="19A67C1E" w14:textId="1ED131ED" w:rsidR="00976BFC" w:rsidRDefault="00976BFC" w:rsidP="00976BF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E72A9D">
        <w:rPr>
          <w:rFonts w:ascii="Arial" w:hAnsi="Arial" w:cs="Arial"/>
          <w:bCs/>
          <w:color w:val="000000" w:themeColor="text1"/>
          <w:sz w:val="22"/>
          <w:szCs w:val="22"/>
        </w:rPr>
        <w:t>As inflation has accelerated economists and officials have debated whether it is a transitory phenomenon—reflecting overstretched supply chains—or a more persistent problem. It is far more than an academic debate. If inflation is short-lived, the right move for the Federal Reserve would be to look through it, aware that jacking up interest rates may do more harm than good. If, however, inflation is stubbornly high, the central bank is duty-bound to tame it</w:t>
      </w:r>
      <w:r>
        <w:rPr>
          <w:rFonts w:ascii="Arial" w:hAnsi="Arial" w:cs="Arial"/>
          <w:bCs/>
          <w:color w:val="000000" w:themeColor="text1"/>
          <w:sz w:val="22"/>
          <w:szCs w:val="22"/>
        </w:rPr>
        <w:t>,”</w:t>
      </w:r>
    </w:p>
    <w:p w14:paraId="22F4566E" w14:textId="77777777" w:rsidR="00976BFC" w:rsidRPr="008D4858" w:rsidRDefault="00976BFC" w:rsidP="00976BFC">
      <w:pPr>
        <w:tabs>
          <w:tab w:val="left" w:pos="8550"/>
        </w:tabs>
        <w:rPr>
          <w:rFonts w:ascii="Arial" w:hAnsi="Arial" w:cs="Arial"/>
          <w:bCs/>
          <w:color w:val="000000" w:themeColor="text1"/>
          <w:sz w:val="16"/>
          <w:szCs w:val="16"/>
        </w:rPr>
      </w:pPr>
    </w:p>
    <w:p w14:paraId="12A47109" w14:textId="5A751D60" w:rsidR="00976BFC" w:rsidRDefault="00976BFC" w:rsidP="00976BFC">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Taming inflation could mean tapering bond buying and raising rates more quickly than planned</w:t>
      </w:r>
      <w:r w:rsidR="00464A07">
        <w:rPr>
          <w:rFonts w:ascii="Arial" w:hAnsi="Arial" w:cs="Arial"/>
          <w:bCs/>
          <w:color w:val="000000" w:themeColor="text1"/>
          <w:sz w:val="22"/>
          <w:szCs w:val="22"/>
        </w:rPr>
        <w:t xml:space="preserve"> </w:t>
      </w:r>
      <w:r>
        <w:rPr>
          <w:rFonts w:ascii="Arial" w:hAnsi="Arial" w:cs="Arial"/>
          <w:bCs/>
          <w:color w:val="000000" w:themeColor="text1"/>
          <w:sz w:val="22"/>
          <w:szCs w:val="22"/>
        </w:rPr>
        <w:t>and higher rates tends to slow and, sometimes, stall economic growth.</w:t>
      </w:r>
    </w:p>
    <w:p w14:paraId="49912D27" w14:textId="77777777" w:rsidR="00976BFC" w:rsidRPr="008D4858" w:rsidRDefault="00976BFC" w:rsidP="00976BFC">
      <w:pPr>
        <w:rPr>
          <w:rFonts w:ascii="Arial" w:hAnsi="Arial" w:cs="Arial"/>
          <w:bCs/>
          <w:color w:val="000000" w:themeColor="text1"/>
          <w:sz w:val="16"/>
          <w:szCs w:val="16"/>
        </w:rPr>
      </w:pPr>
    </w:p>
    <w:p w14:paraId="617E0490" w14:textId="77777777" w:rsidR="00976BFC" w:rsidRDefault="00976BFC" w:rsidP="00976BFC">
      <w:pPr>
        <w:rPr>
          <w:rFonts w:ascii="Arial" w:hAnsi="Arial" w:cs="Arial"/>
          <w:bCs/>
          <w:color w:val="000000" w:themeColor="text1"/>
          <w:sz w:val="22"/>
          <w:szCs w:val="22"/>
        </w:rPr>
      </w:pPr>
      <w:r>
        <w:rPr>
          <w:rFonts w:ascii="Arial" w:hAnsi="Arial" w:cs="Arial"/>
          <w:bCs/>
          <w:color w:val="000000" w:themeColor="text1"/>
          <w:sz w:val="22"/>
          <w:szCs w:val="22"/>
        </w:rPr>
        <w:t>When making policy decisions,</w:t>
      </w:r>
      <w:r w:rsidRPr="008172B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Personal Consumption Expenditures (PCE) is the Fed’s preferred inflation gauge. The readings for the CPI and the PCE rely on information from different sources. </w:t>
      </w:r>
    </w:p>
    <w:p w14:paraId="3A81E885" w14:textId="77777777" w:rsidR="00976BFC" w:rsidRPr="008D4858" w:rsidRDefault="00976BFC" w:rsidP="00976BFC">
      <w:pPr>
        <w:rPr>
          <w:rFonts w:ascii="Arial" w:hAnsi="Arial" w:cs="Arial"/>
          <w:bCs/>
          <w:color w:val="000000" w:themeColor="text1"/>
          <w:sz w:val="16"/>
          <w:szCs w:val="16"/>
        </w:rPr>
      </w:pPr>
    </w:p>
    <w:p w14:paraId="24C218D9" w14:textId="59F4C244" w:rsidR="00976BFC" w:rsidRDefault="00976BFC" w:rsidP="00976BFC">
      <w:pPr>
        <w:rPr>
          <w:rFonts w:ascii="Arial" w:hAnsi="Arial" w:cs="Arial"/>
          <w:bCs/>
          <w:color w:val="000000" w:themeColor="text1"/>
          <w:sz w:val="22"/>
          <w:szCs w:val="22"/>
        </w:rPr>
      </w:pPr>
      <w:r>
        <w:rPr>
          <w:rFonts w:ascii="Arial" w:hAnsi="Arial" w:cs="Arial"/>
          <w:bCs/>
          <w:color w:val="000000" w:themeColor="text1"/>
          <w:sz w:val="22"/>
          <w:szCs w:val="22"/>
        </w:rPr>
        <w:t>“</w:t>
      </w:r>
      <w:r w:rsidRPr="00D67291">
        <w:rPr>
          <w:rFonts w:ascii="Arial" w:hAnsi="Arial" w:cs="Arial"/>
          <w:bCs/>
          <w:color w:val="000000" w:themeColor="text1"/>
          <w:sz w:val="22"/>
          <w:szCs w:val="22"/>
        </w:rPr>
        <w:t>The CPI uses data from household surveys; the PCE uses data from the gross domestic product report and from suppliers. In addition, the PCE measures goods and services bought by all U.S. households and nonprofits. T</w:t>
      </w:r>
      <w:r>
        <w:rPr>
          <w:rFonts w:ascii="Arial" w:hAnsi="Arial" w:cs="Arial"/>
          <w:bCs/>
          <w:color w:val="000000" w:themeColor="text1"/>
          <w:sz w:val="22"/>
          <w:szCs w:val="22"/>
        </w:rPr>
        <w:t>h</w:t>
      </w:r>
      <w:r w:rsidRPr="00D67291">
        <w:rPr>
          <w:rFonts w:ascii="Arial" w:hAnsi="Arial" w:cs="Arial"/>
          <w:bCs/>
          <w:color w:val="000000" w:themeColor="text1"/>
          <w:sz w:val="22"/>
          <w:szCs w:val="22"/>
        </w:rPr>
        <w:t>e CPI only accounts for all urban households</w:t>
      </w:r>
      <w:r>
        <w:rPr>
          <w:rFonts w:ascii="Arial" w:hAnsi="Arial" w:cs="Arial"/>
          <w:bCs/>
          <w:color w:val="000000" w:themeColor="text1"/>
          <w:sz w:val="22"/>
          <w:szCs w:val="22"/>
        </w:rPr>
        <w:t xml:space="preserve">,” reported </w:t>
      </w:r>
      <w:proofErr w:type="spellStart"/>
      <w:r w:rsidRPr="00D67291">
        <w:rPr>
          <w:rFonts w:ascii="Arial" w:hAnsi="Arial" w:cs="Arial"/>
          <w:bCs/>
          <w:color w:val="000000" w:themeColor="text1"/>
          <w:sz w:val="22"/>
          <w:szCs w:val="22"/>
        </w:rPr>
        <w:t>Fanglue</w:t>
      </w:r>
      <w:proofErr w:type="spellEnd"/>
      <w:r w:rsidRPr="00D67291">
        <w:rPr>
          <w:rFonts w:ascii="Arial" w:hAnsi="Arial" w:cs="Arial"/>
          <w:bCs/>
          <w:color w:val="000000" w:themeColor="text1"/>
          <w:sz w:val="22"/>
          <w:szCs w:val="22"/>
        </w:rPr>
        <w:t xml:space="preserve"> Zhou</w:t>
      </w:r>
      <w:r>
        <w:rPr>
          <w:rFonts w:ascii="Arial" w:hAnsi="Arial" w:cs="Arial"/>
          <w:bCs/>
          <w:color w:val="000000" w:themeColor="text1"/>
          <w:sz w:val="22"/>
          <w:szCs w:val="22"/>
        </w:rPr>
        <w:t xml:space="preserve"> of </w:t>
      </w:r>
      <w:r w:rsidRPr="00A35F16">
        <w:rPr>
          <w:rFonts w:ascii="Arial" w:hAnsi="Arial" w:cs="Arial"/>
          <w:bCs/>
          <w:color w:val="000000" w:themeColor="text1"/>
          <w:sz w:val="22"/>
          <w:szCs w:val="22"/>
        </w:rPr>
        <w:t>Callan</w:t>
      </w:r>
      <w:r>
        <w:rPr>
          <w:rFonts w:ascii="Arial" w:hAnsi="Arial" w:cs="Arial"/>
          <w:bCs/>
          <w:color w:val="000000" w:themeColor="text1"/>
          <w:sz w:val="22"/>
          <w:szCs w:val="22"/>
        </w:rPr>
        <w:t xml:space="preserve"> Associates.</w:t>
      </w:r>
    </w:p>
    <w:p w14:paraId="45401134" w14:textId="77777777" w:rsidR="00976BFC" w:rsidRPr="008D4858" w:rsidRDefault="00976BFC" w:rsidP="00976BFC">
      <w:pPr>
        <w:rPr>
          <w:rFonts w:ascii="Arial" w:hAnsi="Arial" w:cs="Arial"/>
          <w:bCs/>
          <w:color w:val="000000" w:themeColor="text1"/>
          <w:sz w:val="16"/>
          <w:szCs w:val="16"/>
        </w:rPr>
      </w:pPr>
    </w:p>
    <w:p w14:paraId="45E0BF99" w14:textId="1DCD951B" w:rsidR="00976BFC" w:rsidRDefault="00976BFC" w:rsidP="00976BFC">
      <w:pPr>
        <w:rPr>
          <w:rFonts w:ascii="Arial" w:hAnsi="Arial" w:cs="Arial"/>
          <w:bCs/>
          <w:color w:val="000000" w:themeColor="text1"/>
          <w:sz w:val="22"/>
          <w:szCs w:val="22"/>
        </w:rPr>
      </w:pPr>
      <w:r>
        <w:rPr>
          <w:rFonts w:ascii="Arial" w:hAnsi="Arial" w:cs="Arial"/>
          <w:bCs/>
          <w:color w:val="000000" w:themeColor="text1"/>
          <w:sz w:val="22"/>
          <w:szCs w:val="22"/>
        </w:rPr>
        <w:t>PCE data will be released on November 24.</w:t>
      </w:r>
    </w:p>
    <w:p w14:paraId="5A2323E7" w14:textId="77777777" w:rsidR="00976BFC" w:rsidRPr="008D4858" w:rsidRDefault="00976BFC" w:rsidP="00976BFC">
      <w:pPr>
        <w:rPr>
          <w:rFonts w:ascii="Arial" w:hAnsi="Arial" w:cs="Arial"/>
          <w:bCs/>
          <w:color w:val="000000" w:themeColor="text1"/>
          <w:sz w:val="16"/>
          <w:szCs w:val="16"/>
        </w:rPr>
      </w:pPr>
    </w:p>
    <w:p w14:paraId="11252E29" w14:textId="448AA6D9" w:rsidR="00976BFC" w:rsidRPr="00E85267" w:rsidRDefault="00976BFC" w:rsidP="00976BFC">
      <w:pPr>
        <w:rPr>
          <w:rFonts w:ascii="Arial" w:hAnsi="Arial" w:cs="Arial"/>
          <w:bCs/>
          <w:color w:val="000000" w:themeColor="text1"/>
          <w:sz w:val="22"/>
          <w:szCs w:val="22"/>
          <w:vertAlign w:val="superscript"/>
        </w:rPr>
      </w:pPr>
      <w:r>
        <w:rPr>
          <w:rFonts w:ascii="Arial" w:hAnsi="Arial" w:cs="Arial"/>
          <w:bCs/>
          <w:color w:val="000000" w:themeColor="text1"/>
          <w:sz w:val="22"/>
          <w:szCs w:val="22"/>
        </w:rPr>
        <w:t>M</w:t>
      </w:r>
      <w:r w:rsidRPr="00E85267">
        <w:rPr>
          <w:rFonts w:ascii="Arial" w:hAnsi="Arial" w:cs="Arial"/>
          <w:bCs/>
          <w:color w:val="000000" w:themeColor="text1"/>
          <w:sz w:val="22"/>
          <w:szCs w:val="22"/>
        </w:rPr>
        <w:t xml:space="preserve">ajor U.S. stock indices </w:t>
      </w:r>
      <w:r>
        <w:rPr>
          <w:rFonts w:ascii="Arial" w:hAnsi="Arial" w:cs="Arial"/>
          <w:bCs/>
          <w:color w:val="000000" w:themeColor="text1"/>
          <w:sz w:val="22"/>
          <w:szCs w:val="22"/>
        </w:rPr>
        <w:t>retreated a bit last</w:t>
      </w:r>
      <w:r w:rsidRPr="00E85267">
        <w:rPr>
          <w:rFonts w:ascii="Arial" w:hAnsi="Arial" w:cs="Arial"/>
          <w:bCs/>
          <w:color w:val="000000" w:themeColor="text1"/>
          <w:sz w:val="22"/>
          <w:szCs w:val="22"/>
        </w:rPr>
        <w:t xml:space="preserve"> week</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 xml:space="preserve">according to </w:t>
      </w:r>
      <w:r>
        <w:rPr>
          <w:rFonts w:ascii="Arial" w:hAnsi="Arial" w:cs="Arial"/>
          <w:bCs/>
          <w:color w:val="000000" w:themeColor="text1"/>
          <w:sz w:val="22"/>
          <w:szCs w:val="22"/>
        </w:rPr>
        <w:t>Ben Levisohn</w:t>
      </w:r>
      <w:r w:rsidRPr="00E85267">
        <w:rPr>
          <w:rFonts w:ascii="Arial" w:hAnsi="Arial" w:cs="Arial"/>
          <w:bCs/>
          <w:color w:val="000000" w:themeColor="text1"/>
          <w:sz w:val="22"/>
          <w:szCs w:val="22"/>
        </w:rPr>
        <w:t xml:space="preserve"> of </w:t>
      </w:r>
      <w:r w:rsidRPr="00E85267">
        <w:rPr>
          <w:rFonts w:ascii="Arial" w:hAnsi="Arial" w:cs="Arial"/>
          <w:bCs/>
          <w:i/>
          <w:iCs/>
          <w:color w:val="000000" w:themeColor="text1"/>
          <w:sz w:val="22"/>
          <w:szCs w:val="22"/>
        </w:rPr>
        <w:t>Barron’s</w:t>
      </w:r>
      <w:r>
        <w:rPr>
          <w:rFonts w:ascii="Arial" w:hAnsi="Arial" w:cs="Arial"/>
          <w:bCs/>
          <w:color w:val="000000" w:themeColor="text1"/>
          <w:sz w:val="22"/>
          <w:szCs w:val="22"/>
        </w:rPr>
        <w:t xml:space="preserve">, leaving the Standard &amp; Poor’s 500 Index up 24.7 percent year-to-date. The yield on 10-year U.S. </w:t>
      </w:r>
      <w:r w:rsidRPr="00E85267">
        <w:rPr>
          <w:rFonts w:ascii="Arial" w:hAnsi="Arial" w:cs="Arial"/>
          <w:bCs/>
          <w:color w:val="000000" w:themeColor="text1"/>
          <w:sz w:val="22"/>
          <w:szCs w:val="22"/>
        </w:rPr>
        <w:t>Treasur</w:t>
      </w:r>
      <w:r>
        <w:rPr>
          <w:rFonts w:ascii="Arial" w:hAnsi="Arial" w:cs="Arial"/>
          <w:bCs/>
          <w:color w:val="000000" w:themeColor="text1"/>
          <w:sz w:val="22"/>
          <w:szCs w:val="22"/>
        </w:rPr>
        <w:t>ies rose last week</w:t>
      </w:r>
      <w:r w:rsidRPr="00E85267">
        <w:rPr>
          <w:rFonts w:ascii="Arial" w:hAnsi="Arial" w:cs="Arial"/>
          <w:bCs/>
          <w:color w:val="000000" w:themeColor="text1"/>
          <w:sz w:val="22"/>
          <w:szCs w:val="22"/>
        </w:rPr>
        <w:t>.</w:t>
      </w:r>
    </w:p>
    <w:p w14:paraId="5A689B2F" w14:textId="77777777" w:rsidR="00976BFC" w:rsidRPr="008D4858" w:rsidRDefault="00976BFC" w:rsidP="00976BFC">
      <w:pPr>
        <w:tabs>
          <w:tab w:val="left" w:pos="8550"/>
        </w:tabs>
        <w:rPr>
          <w:rFonts w:ascii="Arial" w:hAnsi="Arial" w:cs="Arial"/>
          <w:b/>
          <w:color w:val="000000" w:themeColor="text1"/>
          <w:sz w:val="16"/>
          <w:szCs w:val="16"/>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976BFC" w:rsidRPr="00EF78F4" w14:paraId="4800F599" w14:textId="77777777" w:rsidTr="0085210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62E11"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11/12</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3FF233C4"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CE21"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C89F5B"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89637F5"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ED79EF"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6BAE0D" w14:textId="77777777" w:rsidR="00976BFC" w:rsidRPr="00EF78F4" w:rsidRDefault="00976BFC" w:rsidP="0085210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976BFC" w:rsidRPr="00EF78F4" w14:paraId="5C65FFDA" w14:textId="77777777" w:rsidTr="0085210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7DAD65B" w14:textId="77777777" w:rsidR="00976BFC" w:rsidRPr="00EF78F4" w:rsidRDefault="00976BFC" w:rsidP="00852103">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515E50DA"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-0.3</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A509556"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24.7</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7DCB6C"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32.4</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4F1DD81"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19.8</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DCB6DA9"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6.7</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03AD765"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4.1</w:t>
            </w:r>
            <w:r w:rsidRPr="006B387B">
              <w:rPr>
                <w:rFonts w:ascii="Arial" w:hAnsi="Arial" w:cs="Arial"/>
                <w:sz w:val="22"/>
                <w:szCs w:val="22"/>
              </w:rPr>
              <w:t>%</w:t>
            </w:r>
          </w:p>
        </w:tc>
      </w:tr>
      <w:tr w:rsidR="00976BFC" w:rsidRPr="00EF78F4" w14:paraId="41B6A8D8" w14:textId="77777777" w:rsidTr="0085210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536F2" w14:textId="77777777" w:rsidR="00976BFC" w:rsidRPr="00EF78F4" w:rsidRDefault="00976BFC" w:rsidP="00852103">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58E9B934"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2F12F" w14:textId="77777777" w:rsidR="00976BFC" w:rsidRPr="006B387B" w:rsidRDefault="00976BFC" w:rsidP="00852103">
            <w:pPr>
              <w:tabs>
                <w:tab w:val="left" w:pos="263"/>
                <w:tab w:val="center" w:pos="372"/>
                <w:tab w:val="left" w:pos="8550"/>
              </w:tabs>
              <w:jc w:val="center"/>
              <w:rPr>
                <w:rFonts w:ascii="Arial" w:hAnsi="Arial" w:cs="Arial"/>
                <w:sz w:val="22"/>
                <w:szCs w:val="22"/>
              </w:rPr>
            </w:pPr>
            <w:r>
              <w:rPr>
                <w:rFonts w:ascii="Arial" w:hAnsi="Arial" w:cs="Arial"/>
                <w:sz w:val="22"/>
                <w:szCs w:val="22"/>
              </w:rPr>
              <w:t>8.2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9B6420"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17.2</w:t>
            </w:r>
          </w:p>
        </w:tc>
        <w:tc>
          <w:tcPr>
            <w:tcW w:w="900" w:type="dxa"/>
            <w:tcBorders>
              <w:top w:val="single" w:sz="4" w:space="0" w:color="auto"/>
              <w:left w:val="nil"/>
              <w:bottom w:val="single" w:sz="4" w:space="0" w:color="auto"/>
              <w:right w:val="single" w:sz="4" w:space="0" w:color="auto"/>
            </w:tcBorders>
            <w:shd w:val="clear" w:color="auto" w:fill="auto"/>
            <w:vAlign w:val="center"/>
          </w:tcPr>
          <w:p w14:paraId="095D077B"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10.2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F4A3B8"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399FDC"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5.0</w:t>
            </w:r>
          </w:p>
        </w:tc>
      </w:tr>
      <w:tr w:rsidR="00976BFC" w:rsidRPr="00EF78F4" w14:paraId="17012720" w14:textId="77777777" w:rsidTr="0085210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82BDB" w14:textId="77777777" w:rsidR="00976BFC" w:rsidRPr="00EF78F4" w:rsidRDefault="00976BFC" w:rsidP="00852103">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78372BAD"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371BF" w14:textId="77777777" w:rsidR="00976BFC" w:rsidRPr="006B387B" w:rsidRDefault="00976BFC" w:rsidP="00852103">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7FADC9"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33AEC89"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9108A0"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04DF8E"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2.0</w:t>
            </w:r>
          </w:p>
        </w:tc>
      </w:tr>
      <w:tr w:rsidR="00976BFC" w:rsidRPr="00EF78F4" w14:paraId="2673F5B3" w14:textId="77777777" w:rsidTr="0085210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6B69E" w14:textId="77777777" w:rsidR="00976BFC" w:rsidRPr="00EF78F4" w:rsidRDefault="00976BFC" w:rsidP="00852103">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DD88386"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6107"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8A92FF8"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1DA2228D"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142C73"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FA1E94"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5</w:t>
            </w:r>
          </w:p>
        </w:tc>
      </w:tr>
      <w:tr w:rsidR="00976BFC" w:rsidRPr="00EF78F4" w14:paraId="7111A0B9" w14:textId="77777777" w:rsidTr="0085210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59703" w14:textId="77777777" w:rsidR="00976BFC" w:rsidRPr="00EF78F4" w:rsidRDefault="00976BFC" w:rsidP="00852103">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09F36C3"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CD87"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31.7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E4D8317"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39.5</w:t>
            </w:r>
          </w:p>
        </w:tc>
        <w:tc>
          <w:tcPr>
            <w:tcW w:w="900" w:type="dxa"/>
            <w:tcBorders>
              <w:top w:val="single" w:sz="4" w:space="0" w:color="auto"/>
              <w:left w:val="nil"/>
              <w:bottom w:val="single" w:sz="4" w:space="0" w:color="auto"/>
              <w:right w:val="single" w:sz="4" w:space="0" w:color="auto"/>
            </w:tcBorders>
            <w:shd w:val="clear" w:color="auto" w:fill="auto"/>
            <w:vAlign w:val="center"/>
          </w:tcPr>
          <w:p w14:paraId="7EAAFB65"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7B3D38" w14:textId="77777777" w:rsidR="00976BFC" w:rsidRPr="006B387B" w:rsidRDefault="00976BFC" w:rsidP="00852103">
            <w:pPr>
              <w:tabs>
                <w:tab w:val="left" w:pos="8550"/>
              </w:tabs>
              <w:jc w:val="center"/>
              <w:rPr>
                <w:rFonts w:ascii="Arial" w:hAnsi="Arial" w:cs="Arial"/>
                <w:sz w:val="22"/>
                <w:szCs w:val="22"/>
              </w:rPr>
            </w:pPr>
            <w:r>
              <w:rPr>
                <w:rFonts w:ascii="Arial" w:hAnsi="Arial" w:cs="Arial"/>
                <w:sz w:val="22"/>
                <w:szCs w:val="22"/>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833A3" w14:textId="77777777" w:rsidR="00976BFC" w:rsidRPr="006B387B" w:rsidRDefault="00976BFC" w:rsidP="0085210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3.6</w:t>
            </w:r>
          </w:p>
        </w:tc>
      </w:tr>
    </w:tbl>
    <w:p w14:paraId="4C4FBA80" w14:textId="77777777" w:rsidR="00976BFC" w:rsidRPr="006F4C0C" w:rsidRDefault="00976BFC" w:rsidP="00976BFC">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9B2A847" w14:textId="77777777" w:rsidR="00976BFC" w:rsidRPr="006F4C0C" w:rsidRDefault="00976BFC" w:rsidP="00976BFC">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45EE7539" w14:textId="77777777" w:rsidR="00976BFC" w:rsidRDefault="00976BFC" w:rsidP="00976BFC">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813E5D8" w14:textId="77777777" w:rsidR="00976BFC" w:rsidRDefault="00976BFC" w:rsidP="00976BFC">
      <w:pPr>
        <w:rPr>
          <w:rFonts w:ascii="Arial" w:hAnsi="Arial" w:cs="Arial"/>
          <w:sz w:val="18"/>
          <w:szCs w:val="18"/>
        </w:rPr>
      </w:pPr>
    </w:p>
    <w:p w14:paraId="5E657D03" w14:textId="784F6C5B" w:rsidR="00976BFC" w:rsidRDefault="00976BFC" w:rsidP="00976BFC">
      <w:pPr>
        <w:rPr>
          <w:rFonts w:ascii="Arial" w:hAnsi="Arial" w:cs="Arial"/>
          <w:color w:val="000000" w:themeColor="text1"/>
          <w:sz w:val="22"/>
          <w:szCs w:val="22"/>
        </w:rPr>
      </w:pPr>
      <w:r w:rsidRPr="003F6B04">
        <w:rPr>
          <w:rFonts w:ascii="Arial" w:hAnsi="Arial" w:cs="Arial"/>
          <w:b/>
          <w:bCs/>
          <w:caps/>
          <w:color w:val="0D304A"/>
          <w:sz w:val="22"/>
          <w:szCs w:val="22"/>
        </w:rPr>
        <w:t xml:space="preserve">What can James Bond teach us about travel medicine? </w:t>
      </w:r>
      <w:r w:rsidRPr="003F6B04">
        <w:rPr>
          <w:rFonts w:ascii="Arial" w:hAnsi="Arial" w:cs="Arial"/>
          <w:color w:val="000000" w:themeColor="text1"/>
          <w:sz w:val="22"/>
          <w:szCs w:val="22"/>
        </w:rPr>
        <w:t xml:space="preserve">Recently, </w:t>
      </w:r>
      <w:r w:rsidRPr="003F6B04">
        <w:rPr>
          <w:rFonts w:ascii="Arial" w:hAnsi="Arial" w:cs="Arial"/>
          <w:i/>
          <w:iCs/>
          <w:color w:val="000000" w:themeColor="text1"/>
          <w:sz w:val="22"/>
          <w:szCs w:val="22"/>
        </w:rPr>
        <w:t>Travel</w:t>
      </w:r>
      <w:r w:rsidRPr="009838F7">
        <w:rPr>
          <w:rFonts w:ascii="Arial" w:hAnsi="Arial" w:cs="Arial"/>
          <w:i/>
          <w:iCs/>
          <w:color w:val="000000" w:themeColor="text1"/>
          <w:sz w:val="22"/>
          <w:szCs w:val="22"/>
        </w:rPr>
        <w:t xml:space="preserve"> Medicine and Infectious Disease</w:t>
      </w:r>
      <w:r>
        <w:rPr>
          <w:rFonts w:ascii="Arial" w:hAnsi="Arial" w:cs="Arial"/>
          <w:color w:val="000000" w:themeColor="text1"/>
          <w:sz w:val="22"/>
          <w:szCs w:val="22"/>
        </w:rPr>
        <w:t>, a research journal,</w:t>
      </w:r>
      <w:r w:rsidR="00CF4F7C">
        <w:rPr>
          <w:rFonts w:ascii="Arial" w:hAnsi="Arial" w:cs="Arial"/>
          <w:bCs/>
          <w:color w:val="000000" w:themeColor="text1"/>
          <w:sz w:val="22"/>
          <w:szCs w:val="22"/>
          <w:vertAlign w:val="superscript"/>
        </w:rPr>
        <w:t xml:space="preserve"> </w:t>
      </w:r>
      <w:r>
        <w:rPr>
          <w:rFonts w:ascii="Arial" w:hAnsi="Arial" w:cs="Arial"/>
          <w:color w:val="000000" w:themeColor="text1"/>
          <w:sz w:val="22"/>
          <w:szCs w:val="22"/>
        </w:rPr>
        <w:t>published “</w:t>
      </w:r>
      <w:r w:rsidRPr="009838F7">
        <w:rPr>
          <w:rFonts w:ascii="Arial" w:hAnsi="Arial" w:cs="Arial"/>
          <w:color w:val="000000" w:themeColor="text1"/>
          <w:sz w:val="22"/>
          <w:szCs w:val="22"/>
        </w:rPr>
        <w:t>No time to die: An in-depth analysis of James Bond's exposure to infectious agents</w:t>
      </w:r>
      <w:r>
        <w:rPr>
          <w:rFonts w:ascii="Arial" w:hAnsi="Arial" w:cs="Arial"/>
          <w:color w:val="000000" w:themeColor="text1"/>
          <w:sz w:val="22"/>
          <w:szCs w:val="22"/>
        </w:rPr>
        <w:t>.”</w:t>
      </w:r>
    </w:p>
    <w:p w14:paraId="7679CB5B" w14:textId="77777777" w:rsidR="00976BFC" w:rsidRDefault="00976BFC" w:rsidP="00976BFC">
      <w:pPr>
        <w:rPr>
          <w:rFonts w:ascii="Arial" w:hAnsi="Arial" w:cs="Arial"/>
          <w:color w:val="000000" w:themeColor="text1"/>
          <w:sz w:val="22"/>
          <w:szCs w:val="22"/>
        </w:rPr>
      </w:pPr>
    </w:p>
    <w:p w14:paraId="397B5825" w14:textId="19FCE88E" w:rsidR="00976BFC" w:rsidRDefault="00976BFC" w:rsidP="00976BFC">
      <w:pPr>
        <w:rPr>
          <w:rFonts w:ascii="Arial" w:hAnsi="Arial" w:cs="Arial"/>
          <w:color w:val="000000" w:themeColor="text1"/>
          <w:sz w:val="22"/>
          <w:szCs w:val="22"/>
        </w:rPr>
      </w:pPr>
      <w:r>
        <w:rPr>
          <w:rFonts w:ascii="Arial" w:hAnsi="Arial" w:cs="Arial"/>
          <w:color w:val="000000" w:themeColor="text1"/>
          <w:sz w:val="22"/>
          <w:szCs w:val="22"/>
        </w:rPr>
        <w:t>The authors focused their research on 007 because they felt an occupational kinship to the fictional British secret agent. “</w:t>
      </w:r>
      <w:r w:rsidRPr="009C0924">
        <w:rPr>
          <w:rFonts w:ascii="Arial" w:hAnsi="Arial" w:cs="Arial"/>
          <w:color w:val="000000" w:themeColor="text1"/>
          <w:sz w:val="22"/>
          <w:szCs w:val="22"/>
        </w:rPr>
        <w:t>Life as infectious disease researcher is indisputably exciting. Daily encounters with life-threatening microorganisms, academic competitors, hostile reviewing committees, and extensive international travel can make for a thrilling career. International espionage is possibly the only profession that overshadows our branch of academia in these respects.</w:t>
      </w:r>
      <w:r>
        <w:rPr>
          <w:rFonts w:ascii="Arial" w:hAnsi="Arial" w:cs="Arial"/>
          <w:color w:val="000000" w:themeColor="text1"/>
          <w:sz w:val="22"/>
          <w:szCs w:val="22"/>
        </w:rPr>
        <w:t>”</w:t>
      </w:r>
    </w:p>
    <w:p w14:paraId="4BF16778" w14:textId="77777777" w:rsidR="00976BFC" w:rsidRDefault="00976BFC" w:rsidP="00976BFC">
      <w:pPr>
        <w:rPr>
          <w:rFonts w:ascii="Arial" w:hAnsi="Arial" w:cs="Arial"/>
          <w:color w:val="000000" w:themeColor="text1"/>
          <w:sz w:val="22"/>
          <w:szCs w:val="22"/>
        </w:rPr>
      </w:pPr>
    </w:p>
    <w:p w14:paraId="071B533E" w14:textId="16724F0E" w:rsidR="00976BFC" w:rsidRDefault="00976BFC" w:rsidP="00976BFC">
      <w:pPr>
        <w:rPr>
          <w:rFonts w:ascii="Arial" w:hAnsi="Arial" w:cs="Arial"/>
          <w:color w:val="000000" w:themeColor="text1"/>
          <w:sz w:val="22"/>
          <w:szCs w:val="22"/>
        </w:rPr>
      </w:pPr>
      <w:r>
        <w:rPr>
          <w:rFonts w:ascii="Arial" w:hAnsi="Arial" w:cs="Arial"/>
          <w:color w:val="000000" w:themeColor="text1"/>
          <w:sz w:val="22"/>
          <w:szCs w:val="22"/>
        </w:rPr>
        <w:t>The team spent almost 52 evening hours evaluating whether Bond, James Bond, adhered to international travel advice during the 86 trips he took to other countries, on film, between 1962 and 2021. The authors concluded the MI6 agent,</w:t>
      </w:r>
      <w:r w:rsidRPr="009C0924">
        <w:rPr>
          <w:rFonts w:ascii="Arial" w:hAnsi="Arial" w:cs="Arial"/>
          <w:color w:val="000000" w:themeColor="text1"/>
          <w:sz w:val="22"/>
          <w:szCs w:val="22"/>
        </w:rPr>
        <w:t xml:space="preserve"> </w:t>
      </w:r>
      <w:r>
        <w:rPr>
          <w:rFonts w:ascii="Arial" w:hAnsi="Arial" w:cs="Arial"/>
          <w:color w:val="000000" w:themeColor="text1"/>
          <w:sz w:val="22"/>
          <w:szCs w:val="22"/>
        </w:rPr>
        <w:t xml:space="preserve">“…is </w:t>
      </w:r>
      <w:r w:rsidRPr="009C0924">
        <w:rPr>
          <w:rFonts w:ascii="Arial" w:hAnsi="Arial" w:cs="Arial"/>
          <w:color w:val="000000" w:themeColor="text1"/>
          <w:sz w:val="22"/>
          <w:szCs w:val="22"/>
        </w:rPr>
        <w:t>an exemplar of reckless disregard for occupational health but serves as a useful tool for drawing attention to the important issue of infectious disease risk while working and traveling.</w:t>
      </w:r>
      <w:r>
        <w:rPr>
          <w:rFonts w:ascii="Arial" w:hAnsi="Arial" w:cs="Arial"/>
          <w:color w:val="000000" w:themeColor="text1"/>
          <w:sz w:val="22"/>
          <w:szCs w:val="22"/>
        </w:rPr>
        <w:t>”</w:t>
      </w:r>
    </w:p>
    <w:p w14:paraId="3E553389" w14:textId="77777777" w:rsidR="00976BFC" w:rsidRDefault="00976BFC" w:rsidP="00976BFC">
      <w:pPr>
        <w:rPr>
          <w:rFonts w:ascii="Arial" w:hAnsi="Arial" w:cs="Arial"/>
          <w:color w:val="000000" w:themeColor="text1"/>
          <w:sz w:val="22"/>
          <w:szCs w:val="22"/>
        </w:rPr>
      </w:pPr>
    </w:p>
    <w:p w14:paraId="65A6E995" w14:textId="77777777" w:rsidR="00976BFC" w:rsidRDefault="00976BFC" w:rsidP="00976BFC">
      <w:pPr>
        <w:rPr>
          <w:rFonts w:ascii="Arial" w:hAnsi="Arial" w:cs="Arial"/>
          <w:color w:val="000000" w:themeColor="text1"/>
          <w:sz w:val="22"/>
          <w:szCs w:val="22"/>
        </w:rPr>
      </w:pPr>
      <w:r>
        <w:rPr>
          <w:rFonts w:ascii="Arial" w:hAnsi="Arial" w:cs="Arial"/>
          <w:color w:val="000000" w:themeColor="text1"/>
          <w:sz w:val="22"/>
          <w:szCs w:val="22"/>
        </w:rPr>
        <w:t>Among the many issues identified, the paper’s authors reported that James Bond was:</w:t>
      </w:r>
    </w:p>
    <w:p w14:paraId="4F5BD8A9" w14:textId="77777777" w:rsidR="00976BFC" w:rsidRDefault="00976BFC" w:rsidP="00976BFC">
      <w:pPr>
        <w:rPr>
          <w:rFonts w:ascii="Arial" w:hAnsi="Arial" w:cs="Arial"/>
          <w:color w:val="000000" w:themeColor="text1"/>
          <w:sz w:val="22"/>
          <w:szCs w:val="22"/>
        </w:rPr>
      </w:pPr>
    </w:p>
    <w:p w14:paraId="1193BBF1" w14:textId="732D9BD8" w:rsidR="00976BFC" w:rsidRPr="003F6B04" w:rsidRDefault="00976BFC" w:rsidP="00976BFC">
      <w:pPr>
        <w:pStyle w:val="ListParagraph"/>
        <w:numPr>
          <w:ilvl w:val="0"/>
          <w:numId w:val="39"/>
        </w:numPr>
        <w:rPr>
          <w:rFonts w:ascii="Arial" w:hAnsi="Arial" w:cs="Arial"/>
          <w:color w:val="000000" w:themeColor="text1"/>
          <w:sz w:val="22"/>
          <w:szCs w:val="22"/>
        </w:rPr>
      </w:pPr>
      <w:r w:rsidRPr="003F6B04">
        <w:rPr>
          <w:rFonts w:ascii="Arial" w:hAnsi="Arial" w:cs="Arial"/>
          <w:color w:val="000000" w:themeColor="text1"/>
          <w:sz w:val="22"/>
          <w:szCs w:val="22"/>
        </w:rPr>
        <w:t>Woefully uneducated about the dangers of food-borne infections and the precautions necessary to prevent them. In particular, he is only seen to wash his hands twice</w:t>
      </w:r>
      <w:r>
        <w:rPr>
          <w:rFonts w:ascii="Arial" w:hAnsi="Arial" w:cs="Arial"/>
          <w:color w:val="000000" w:themeColor="text1"/>
          <w:sz w:val="22"/>
          <w:szCs w:val="22"/>
        </w:rPr>
        <w:t xml:space="preserve">. Viewers can only hope </w:t>
      </w:r>
      <w:r w:rsidRPr="003F6B04">
        <w:rPr>
          <w:rFonts w:ascii="Arial" w:hAnsi="Arial" w:cs="Arial"/>
          <w:color w:val="000000" w:themeColor="text1"/>
          <w:sz w:val="22"/>
          <w:szCs w:val="22"/>
        </w:rPr>
        <w:t>the soap-and-water action was occurring offscreen.</w:t>
      </w:r>
    </w:p>
    <w:p w14:paraId="6B9DB948" w14:textId="77777777" w:rsidR="00976BFC" w:rsidRPr="003F6B04" w:rsidRDefault="00976BFC" w:rsidP="00976BFC">
      <w:pPr>
        <w:rPr>
          <w:rFonts w:ascii="Arial" w:hAnsi="Arial" w:cs="Arial"/>
          <w:color w:val="000000" w:themeColor="text1"/>
          <w:sz w:val="22"/>
          <w:szCs w:val="22"/>
        </w:rPr>
      </w:pPr>
    </w:p>
    <w:p w14:paraId="1CD9E9DB" w14:textId="37C0ADAC" w:rsidR="00976BFC" w:rsidRPr="003F6B04" w:rsidRDefault="00976BFC" w:rsidP="00976BFC">
      <w:pPr>
        <w:pStyle w:val="ListParagraph"/>
        <w:numPr>
          <w:ilvl w:val="0"/>
          <w:numId w:val="39"/>
        </w:numPr>
        <w:rPr>
          <w:rFonts w:ascii="Arial" w:hAnsi="Arial" w:cs="Arial"/>
          <w:color w:val="000000" w:themeColor="text1"/>
          <w:sz w:val="22"/>
          <w:szCs w:val="22"/>
        </w:rPr>
      </w:pPr>
      <w:r>
        <w:rPr>
          <w:rFonts w:ascii="Arial" w:hAnsi="Arial" w:cs="Arial"/>
          <w:color w:val="000000" w:themeColor="text1"/>
          <w:sz w:val="22"/>
          <w:szCs w:val="22"/>
        </w:rPr>
        <w:t>Cavalier about protecting against insect bites on trips to</w:t>
      </w:r>
      <w:r w:rsidRPr="003F6B04">
        <w:rPr>
          <w:rFonts w:ascii="Arial" w:hAnsi="Arial" w:cs="Arial"/>
          <w:color w:val="000000" w:themeColor="text1"/>
          <w:sz w:val="22"/>
          <w:szCs w:val="22"/>
        </w:rPr>
        <w:t xml:space="preserve"> the Bahamas, Jamaica and India</w:t>
      </w:r>
      <w:r>
        <w:rPr>
          <w:rFonts w:ascii="Arial" w:hAnsi="Arial" w:cs="Arial"/>
          <w:color w:val="000000" w:themeColor="text1"/>
          <w:sz w:val="22"/>
          <w:szCs w:val="22"/>
        </w:rPr>
        <w:t xml:space="preserve"> which put him at risk for malaria, dengue and chikungunya, respectively. Bond failed to apply insecticide and slept with his windows open. The researchers suggested that Bond’s watch be equipped with insect-fighting technology.</w:t>
      </w:r>
    </w:p>
    <w:p w14:paraId="6EED4335" w14:textId="77777777" w:rsidR="00976BFC" w:rsidRDefault="00976BFC" w:rsidP="00976BFC">
      <w:pPr>
        <w:tabs>
          <w:tab w:val="left" w:pos="-3150"/>
          <w:tab w:val="left" w:pos="8550"/>
        </w:tabs>
        <w:rPr>
          <w:rFonts w:ascii="Arial" w:hAnsi="Arial" w:cs="Arial"/>
          <w:color w:val="000000" w:themeColor="text1"/>
          <w:sz w:val="22"/>
          <w:szCs w:val="22"/>
        </w:rPr>
      </w:pPr>
    </w:p>
    <w:p w14:paraId="1F38417D" w14:textId="4BABC4CA" w:rsidR="00976BFC" w:rsidRPr="00A41BAE" w:rsidRDefault="00976BFC" w:rsidP="00976BFC">
      <w:pPr>
        <w:pStyle w:val="ListParagraph"/>
        <w:numPr>
          <w:ilvl w:val="0"/>
          <w:numId w:val="39"/>
        </w:numPr>
        <w:tabs>
          <w:tab w:val="left" w:pos="-3150"/>
          <w:tab w:val="left" w:pos="8550"/>
        </w:tabs>
        <w:rPr>
          <w:rFonts w:ascii="Arial" w:hAnsi="Arial" w:cs="Arial"/>
          <w:color w:val="000000" w:themeColor="text1"/>
          <w:sz w:val="22"/>
          <w:szCs w:val="22"/>
        </w:rPr>
      </w:pPr>
      <w:r>
        <w:rPr>
          <w:rFonts w:ascii="Arial" w:hAnsi="Arial" w:cs="Arial"/>
          <w:color w:val="000000" w:themeColor="text1"/>
          <w:sz w:val="22"/>
          <w:szCs w:val="22"/>
        </w:rPr>
        <w:t>At high risk of dehydration. “</w:t>
      </w:r>
      <w:r w:rsidRPr="00A41BAE">
        <w:rPr>
          <w:rFonts w:ascii="Arial" w:hAnsi="Arial" w:cs="Arial"/>
          <w:color w:val="000000" w:themeColor="text1"/>
          <w:sz w:val="22"/>
          <w:szCs w:val="22"/>
        </w:rPr>
        <w:t>Alcoholic beverages, shaken or stirred, do not prevent dehydration, which is a major concern given the extremes of physical activity he goes to, often in warm climates. On only three occasions was Bond observed drinking non-alcoholic drinks: orange juice</w:t>
      </w:r>
      <w:r>
        <w:rPr>
          <w:rFonts w:ascii="Arial" w:hAnsi="Arial" w:cs="Arial"/>
          <w:color w:val="000000" w:themeColor="text1"/>
          <w:sz w:val="22"/>
          <w:szCs w:val="22"/>
        </w:rPr>
        <w:t>,</w:t>
      </w:r>
      <w:r w:rsidRPr="00A41BAE">
        <w:rPr>
          <w:rFonts w:ascii="Arial" w:hAnsi="Arial" w:cs="Arial"/>
          <w:color w:val="000000" w:themeColor="text1"/>
          <w:sz w:val="22"/>
          <w:szCs w:val="22"/>
        </w:rPr>
        <w:t xml:space="preserve"> coffe</w:t>
      </w:r>
      <w:r>
        <w:rPr>
          <w:rFonts w:ascii="Arial" w:hAnsi="Arial" w:cs="Arial"/>
          <w:color w:val="000000" w:themeColor="text1"/>
          <w:sz w:val="22"/>
          <w:szCs w:val="22"/>
        </w:rPr>
        <w:t>e</w:t>
      </w:r>
      <w:r w:rsidRPr="00A41BAE">
        <w:rPr>
          <w:rFonts w:ascii="Arial" w:hAnsi="Arial" w:cs="Arial"/>
          <w:color w:val="000000" w:themeColor="text1"/>
          <w:sz w:val="22"/>
          <w:szCs w:val="22"/>
        </w:rPr>
        <w:t xml:space="preserve"> and salt water, of which the latter is particularly unhelpful in maintaining fluid balance.</w:t>
      </w:r>
      <w:r>
        <w:rPr>
          <w:rFonts w:ascii="Arial" w:hAnsi="Arial" w:cs="Arial"/>
          <w:color w:val="000000" w:themeColor="text1"/>
          <w:sz w:val="22"/>
          <w:szCs w:val="22"/>
        </w:rPr>
        <w:t>”</w:t>
      </w:r>
    </w:p>
    <w:p w14:paraId="4C352E5A" w14:textId="77777777" w:rsidR="00976BFC" w:rsidRDefault="00976BFC" w:rsidP="00976BFC">
      <w:pPr>
        <w:tabs>
          <w:tab w:val="left" w:pos="-3150"/>
          <w:tab w:val="left" w:pos="8550"/>
        </w:tabs>
        <w:rPr>
          <w:rFonts w:ascii="Arial" w:hAnsi="Arial" w:cs="Arial"/>
          <w:color w:val="000000" w:themeColor="text1"/>
          <w:sz w:val="22"/>
          <w:szCs w:val="22"/>
        </w:rPr>
      </w:pPr>
    </w:p>
    <w:p w14:paraId="2F4019A6" w14:textId="77777777" w:rsidR="00976BFC" w:rsidRDefault="00976BFC" w:rsidP="00976BFC">
      <w:pPr>
        <w:tabs>
          <w:tab w:val="left" w:pos="-3150"/>
          <w:tab w:val="left" w:pos="8550"/>
        </w:tabs>
        <w:rPr>
          <w:rFonts w:ascii="Arial" w:hAnsi="Arial" w:cs="Arial"/>
          <w:color w:val="000000" w:themeColor="text1"/>
          <w:sz w:val="22"/>
          <w:szCs w:val="22"/>
        </w:rPr>
      </w:pPr>
      <w:r>
        <w:rPr>
          <w:rFonts w:ascii="Arial" w:hAnsi="Arial" w:cs="Arial"/>
          <w:color w:val="000000" w:themeColor="text1"/>
          <w:sz w:val="22"/>
          <w:szCs w:val="22"/>
        </w:rPr>
        <w:t>In the end, the authors encouraged MI6 to better prepare its fictional agents for missions to foreign destinations. After all, they only live once.</w:t>
      </w:r>
    </w:p>
    <w:p w14:paraId="4924BECF" w14:textId="77777777" w:rsidR="00976BFC" w:rsidRDefault="00976BFC" w:rsidP="00976BFC">
      <w:pPr>
        <w:tabs>
          <w:tab w:val="left" w:pos="-3150"/>
          <w:tab w:val="left" w:pos="8550"/>
        </w:tabs>
        <w:rPr>
          <w:rFonts w:ascii="Arial" w:hAnsi="Arial" w:cs="Arial"/>
          <w:color w:val="000000" w:themeColor="text1"/>
          <w:sz w:val="22"/>
          <w:szCs w:val="22"/>
        </w:rPr>
      </w:pPr>
    </w:p>
    <w:p w14:paraId="21B8EC4F" w14:textId="77777777" w:rsidR="00976BFC" w:rsidRPr="00DF4D98" w:rsidRDefault="00976BFC" w:rsidP="00976BFC">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4E4E55C2" w14:textId="59545C10" w:rsidR="00976BFC" w:rsidRDefault="00976BFC" w:rsidP="00976BFC">
      <w:pPr>
        <w:ind w:right="-36"/>
        <w:rPr>
          <w:rFonts w:ascii="Arial" w:hAnsi="Arial" w:cs="Arial"/>
          <w:color w:val="000000"/>
          <w:sz w:val="22"/>
          <w:szCs w:val="22"/>
        </w:rPr>
      </w:pPr>
      <w:r w:rsidRPr="00486E5E">
        <w:rPr>
          <w:rFonts w:ascii="Arial" w:hAnsi="Arial" w:cs="Arial"/>
          <w:color w:val="000000"/>
          <w:sz w:val="22"/>
          <w:szCs w:val="22"/>
        </w:rPr>
        <w:t>“To be yourself in a world that is constantly trying to make you something else is the greatest accomplishment.”</w:t>
      </w:r>
    </w:p>
    <w:p w14:paraId="2E3CE31F" w14:textId="77777777" w:rsidR="00976BFC" w:rsidRPr="001426A4" w:rsidRDefault="00976BFC" w:rsidP="00976BFC">
      <w:pPr>
        <w:ind w:right="-36"/>
        <w:jc w:val="right"/>
        <w:rPr>
          <w:rFonts w:ascii="Arial" w:hAnsi="Arial" w:cs="Arial"/>
          <w:i/>
          <w:iCs/>
          <w:color w:val="000000"/>
          <w:sz w:val="22"/>
          <w:szCs w:val="22"/>
        </w:rPr>
      </w:pPr>
      <w:r>
        <w:rPr>
          <w:rFonts w:ascii="Arial" w:hAnsi="Arial" w:cs="Arial"/>
          <w:i/>
          <w:iCs/>
          <w:color w:val="000000"/>
          <w:sz w:val="22"/>
          <w:szCs w:val="22"/>
        </w:rPr>
        <w:t>—Ralph Waldo Emerson, philosopher</w:t>
      </w:r>
    </w:p>
    <w:p w14:paraId="77BB502E" w14:textId="0C28CBDA" w:rsidR="0056229A" w:rsidRDefault="0056229A"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0E51F579" w14:textId="77777777" w:rsidR="008D4858" w:rsidRPr="00BA5F6A" w:rsidRDefault="008D4858" w:rsidP="008D4858">
      <w:pPr>
        <w:ind w:right="-36"/>
        <w:rPr>
          <w:rFonts w:ascii="Arial" w:hAnsi="Arial" w:cs="Arial"/>
          <w:color w:val="000000"/>
          <w:sz w:val="22"/>
          <w:szCs w:val="22"/>
        </w:rPr>
      </w:pPr>
    </w:p>
    <w:p w14:paraId="7942CFB0" w14:textId="77777777" w:rsidR="008D4858" w:rsidRDefault="008D4858" w:rsidP="008D485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3267DA3" w14:textId="77777777" w:rsidR="008D4858" w:rsidRDefault="008D4858" w:rsidP="008D4858">
      <w:pPr>
        <w:pStyle w:val="NormalWeb"/>
        <w:spacing w:before="0" w:beforeAutospacing="0" w:after="0" w:afterAutospacing="0"/>
        <w:rPr>
          <w:rFonts w:ascii="Arial" w:hAnsi="Arial" w:cs="Arial"/>
          <w:sz w:val="22"/>
          <w:szCs w:val="22"/>
        </w:rPr>
      </w:pPr>
    </w:p>
    <w:p w14:paraId="46AEA2DE" w14:textId="77777777" w:rsidR="008D4858" w:rsidRDefault="008D4858" w:rsidP="008D4858">
      <w:pPr>
        <w:rPr>
          <w:rFonts w:ascii="Arial" w:hAnsi="Arial" w:cs="Arial"/>
          <w:sz w:val="22"/>
          <w:szCs w:val="22"/>
        </w:rPr>
      </w:pPr>
      <w:r>
        <w:rPr>
          <w:rFonts w:ascii="Arial" w:hAnsi="Arial" w:cs="Arial"/>
          <w:sz w:val="22"/>
          <w:szCs w:val="22"/>
        </w:rPr>
        <w:t>Securities offered through Commonwealth Financial, Member FINRA/SIPC.</w:t>
      </w:r>
    </w:p>
    <w:p w14:paraId="34AAF185" w14:textId="77777777" w:rsidR="008D4858" w:rsidRDefault="008D4858" w:rsidP="008D4858">
      <w:pPr>
        <w:rPr>
          <w:rFonts w:ascii="Arial" w:hAnsi="Arial" w:cs="Arial"/>
          <w:color w:val="000000"/>
          <w:sz w:val="18"/>
          <w:szCs w:val="18"/>
        </w:rPr>
      </w:pPr>
      <w:r w:rsidRPr="00BA5F6A">
        <w:rPr>
          <w:rFonts w:ascii="Arial" w:hAnsi="Arial" w:cs="Arial"/>
          <w:color w:val="000000"/>
          <w:sz w:val="18"/>
          <w:szCs w:val="18"/>
        </w:rPr>
        <w:t> </w:t>
      </w:r>
    </w:p>
    <w:p w14:paraId="3C2C5BC7" w14:textId="77777777" w:rsidR="0056229A" w:rsidRPr="00BA5F6A" w:rsidRDefault="0056229A" w:rsidP="0056229A">
      <w:pPr>
        <w:rPr>
          <w:rFonts w:ascii="Arial" w:hAnsi="Arial" w:cs="Arial"/>
          <w:color w:val="000000"/>
          <w:sz w:val="22"/>
          <w:szCs w:val="22"/>
        </w:rPr>
      </w:pP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740C2E33" w14:textId="77777777" w:rsidR="00976BFC" w:rsidRPr="002C49C2" w:rsidRDefault="00976BFC" w:rsidP="00976BFC">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12555DE1" w14:textId="603BA7C4" w:rsidR="00976BFC" w:rsidRDefault="008D4858" w:rsidP="00976BFC">
      <w:pPr>
        <w:pStyle w:val="EndnoteText"/>
        <w:rPr>
          <w:rFonts w:ascii="Arial" w:hAnsi="Arial" w:cs="Arial"/>
          <w:sz w:val="18"/>
          <w:szCs w:val="18"/>
        </w:rPr>
      </w:pPr>
      <w:hyperlink r:id="rId5" w:history="1">
        <w:r w:rsidR="00976BFC" w:rsidRPr="00577CFA">
          <w:rPr>
            <w:rStyle w:val="Hyperlink"/>
            <w:rFonts w:ascii="Arial" w:hAnsi="Arial" w:cs="Arial"/>
            <w:sz w:val="18"/>
            <w:szCs w:val="18"/>
          </w:rPr>
          <w:t>https://www.bls.gov/news.release/cpi.nr0.htm</w:t>
        </w:r>
      </w:hyperlink>
    </w:p>
    <w:p w14:paraId="6FFF443F" w14:textId="6B9FF0B4" w:rsidR="00976BFC" w:rsidRPr="002C49C2" w:rsidRDefault="008D4858" w:rsidP="00976BFC">
      <w:pPr>
        <w:pStyle w:val="EndnoteText"/>
        <w:rPr>
          <w:rFonts w:ascii="Arial" w:hAnsi="Arial" w:cs="Arial"/>
          <w:sz w:val="18"/>
          <w:szCs w:val="18"/>
        </w:rPr>
      </w:pPr>
      <w:hyperlink r:id="rId6" w:history="1">
        <w:r w:rsidR="00976BFC" w:rsidRPr="00577CFA">
          <w:rPr>
            <w:rStyle w:val="Hyperlink"/>
            <w:rFonts w:ascii="Arial" w:hAnsi="Arial" w:cs="Arial"/>
            <w:sz w:val="18"/>
            <w:szCs w:val="18"/>
          </w:rPr>
          <w:t>https://www.economist.com/finance-and-economics/a-three-decade-high-in-inflation-sows-concerns-about-americas-recovery/21806221</w:t>
        </w:r>
      </w:hyperlink>
      <w:r w:rsidR="00976BFC">
        <w:rPr>
          <w:rFonts w:ascii="Arial" w:hAnsi="Arial" w:cs="Arial"/>
          <w:sz w:val="18"/>
          <w:szCs w:val="18"/>
        </w:rPr>
        <w:t xml:space="preserve"> (</w:t>
      </w:r>
      <w:r w:rsidR="00976BFC" w:rsidRPr="002C49C2">
        <w:rPr>
          <w:rFonts w:ascii="Arial" w:hAnsi="Arial" w:cs="Arial"/>
          <w:i/>
          <w:iCs/>
          <w:sz w:val="18"/>
          <w:szCs w:val="18"/>
        </w:rPr>
        <w:t>or go to</w:t>
      </w:r>
      <w:r w:rsidR="00976BFC">
        <w:rPr>
          <w:rFonts w:ascii="Arial" w:hAnsi="Arial" w:cs="Arial"/>
          <w:sz w:val="18"/>
          <w:szCs w:val="18"/>
        </w:rPr>
        <w:t xml:space="preserve"> </w:t>
      </w:r>
      <w:hyperlink r:id="rId7" w:history="1">
        <w:r w:rsidR="00976BFC" w:rsidRPr="00577CFA">
          <w:rPr>
            <w:rStyle w:val="Hyperlink"/>
            <w:rFonts w:ascii="Arial" w:hAnsi="Arial" w:cs="Arial"/>
            <w:sz w:val="18"/>
            <w:szCs w:val="18"/>
          </w:rPr>
          <w:t>https://resources.carsongroup.com/hubfs/WMC-Source/2021/11-15-21_Economist_A%20Three-Decade%20High%20in%20Inflation%20Sows%20Concerns%20About%20Americas%20Recovery_2.pdf</w:t>
        </w:r>
      </w:hyperlink>
      <w:r w:rsidR="00976BFC">
        <w:rPr>
          <w:rFonts w:ascii="Arial" w:hAnsi="Arial" w:cs="Arial"/>
          <w:sz w:val="18"/>
          <w:szCs w:val="18"/>
        </w:rPr>
        <w:t xml:space="preserve">) </w:t>
      </w:r>
    </w:p>
    <w:p w14:paraId="2EEA17FA" w14:textId="71E215CF" w:rsidR="00976BFC" w:rsidRDefault="008D4858" w:rsidP="00976BFC">
      <w:pPr>
        <w:pStyle w:val="EndnoteText"/>
        <w:rPr>
          <w:rFonts w:ascii="Arial" w:hAnsi="Arial" w:cs="Arial"/>
          <w:sz w:val="18"/>
          <w:szCs w:val="18"/>
        </w:rPr>
      </w:pPr>
      <w:hyperlink r:id="rId8" w:history="1">
        <w:r w:rsidR="00976BFC" w:rsidRPr="00577CFA">
          <w:rPr>
            <w:rStyle w:val="Hyperlink"/>
            <w:rFonts w:ascii="Arial" w:hAnsi="Arial" w:cs="Arial"/>
            <w:sz w:val="18"/>
            <w:szCs w:val="18"/>
          </w:rPr>
          <w:t>https://www.federalreserve.gov/faqs/economy_14400.htm</w:t>
        </w:r>
      </w:hyperlink>
    </w:p>
    <w:p w14:paraId="65A6ABA8" w14:textId="096BA01C" w:rsidR="00976BFC" w:rsidRDefault="008D4858" w:rsidP="00976BFC">
      <w:pPr>
        <w:pStyle w:val="EndnoteText"/>
        <w:rPr>
          <w:rFonts w:ascii="Arial" w:hAnsi="Arial" w:cs="Arial"/>
          <w:sz w:val="18"/>
          <w:szCs w:val="18"/>
        </w:rPr>
      </w:pPr>
      <w:hyperlink r:id="rId9" w:history="1">
        <w:r w:rsidR="00976BFC" w:rsidRPr="00577CFA">
          <w:rPr>
            <w:rStyle w:val="Hyperlink"/>
            <w:rFonts w:ascii="Arial" w:hAnsi="Arial" w:cs="Arial"/>
            <w:sz w:val="18"/>
            <w:szCs w:val="18"/>
          </w:rPr>
          <w:t>https://www.callan.com/blog-archive/cpi-vs-pce/</w:t>
        </w:r>
      </w:hyperlink>
    </w:p>
    <w:p w14:paraId="46144411" w14:textId="00EA1A08" w:rsidR="00976BFC" w:rsidRPr="002C49C2" w:rsidRDefault="008D4858" w:rsidP="00976BFC">
      <w:pPr>
        <w:pStyle w:val="EndnoteText"/>
        <w:rPr>
          <w:rFonts w:ascii="Arial" w:hAnsi="Arial" w:cs="Arial"/>
          <w:sz w:val="18"/>
          <w:szCs w:val="18"/>
        </w:rPr>
      </w:pPr>
      <w:hyperlink r:id="rId10" w:history="1">
        <w:r w:rsidR="00976BFC" w:rsidRPr="002C49C2">
          <w:rPr>
            <w:rStyle w:val="Hyperlink"/>
            <w:rFonts w:ascii="Arial" w:hAnsi="Arial" w:cs="Arial"/>
            <w:sz w:val="18"/>
            <w:szCs w:val="18"/>
          </w:rPr>
          <w:t>https://www.bea.gov/data/personal-consumption-expenditures-price-index</w:t>
        </w:r>
      </w:hyperlink>
    </w:p>
    <w:p w14:paraId="12841991" w14:textId="2FF55FCD" w:rsidR="00976BFC" w:rsidRPr="002C49C2" w:rsidRDefault="008D4858" w:rsidP="00976BFC">
      <w:pPr>
        <w:pStyle w:val="EndnoteText"/>
        <w:rPr>
          <w:rFonts w:ascii="Arial" w:hAnsi="Arial" w:cs="Arial"/>
          <w:sz w:val="18"/>
          <w:szCs w:val="18"/>
        </w:rPr>
      </w:pPr>
      <w:hyperlink r:id="rId11" w:history="1">
        <w:r w:rsidR="00976BFC" w:rsidRPr="00577CFA">
          <w:rPr>
            <w:rStyle w:val="Hyperlink"/>
            <w:rFonts w:ascii="Arial" w:hAnsi="Arial" w:cs="Arial"/>
            <w:sz w:val="18"/>
            <w:szCs w:val="18"/>
          </w:rPr>
          <w:t>https://www.barrons.com/articles/stocks-inflation-bonds-51636764203?refsec=the-trader</w:t>
        </w:r>
      </w:hyperlink>
      <w:r w:rsidR="00976BFC">
        <w:rPr>
          <w:rFonts w:ascii="Arial" w:hAnsi="Arial" w:cs="Arial"/>
          <w:sz w:val="18"/>
          <w:szCs w:val="18"/>
        </w:rPr>
        <w:t xml:space="preserve"> (</w:t>
      </w:r>
      <w:r w:rsidR="00976BFC" w:rsidRPr="002C49C2">
        <w:rPr>
          <w:rFonts w:ascii="Arial" w:hAnsi="Arial" w:cs="Arial"/>
          <w:i/>
          <w:iCs/>
          <w:sz w:val="18"/>
          <w:szCs w:val="18"/>
        </w:rPr>
        <w:t xml:space="preserve">or go to </w:t>
      </w:r>
      <w:hyperlink r:id="rId12" w:history="1">
        <w:r w:rsidR="00976BFC" w:rsidRPr="00070F0D">
          <w:rPr>
            <w:rStyle w:val="Hyperlink"/>
            <w:rFonts w:ascii="Arial" w:hAnsi="Arial" w:cs="Arial"/>
            <w:sz w:val="18"/>
            <w:szCs w:val="18"/>
          </w:rPr>
          <w:t>https://resources.carsongroup.com/hubfs/WMC-Source/2021/11-15-21_Barrons_Inflation%20Isnt%20the%20Stock%20Markets%20Biggest%20Problem_6.pdf</w:t>
        </w:r>
      </w:hyperlink>
      <w:r w:rsidR="00976BFC">
        <w:rPr>
          <w:rFonts w:ascii="Arial" w:hAnsi="Arial" w:cs="Arial"/>
          <w:sz w:val="18"/>
          <w:szCs w:val="18"/>
        </w:rPr>
        <w:t xml:space="preserve">) </w:t>
      </w:r>
    </w:p>
    <w:p w14:paraId="70D59DE6" w14:textId="73690C78" w:rsidR="00976BFC" w:rsidRDefault="008D4858" w:rsidP="00976BFC">
      <w:pPr>
        <w:pStyle w:val="EndnoteText"/>
        <w:rPr>
          <w:rFonts w:ascii="Arial" w:hAnsi="Arial" w:cs="Arial"/>
          <w:sz w:val="18"/>
          <w:szCs w:val="18"/>
        </w:rPr>
      </w:pPr>
      <w:hyperlink r:id="rId13" w:history="1">
        <w:r w:rsidR="00976BFC" w:rsidRPr="00577CFA">
          <w:rPr>
            <w:rStyle w:val="Hyperlink"/>
            <w:rFonts w:ascii="Arial" w:hAnsi="Arial" w:cs="Arial"/>
            <w:sz w:val="18"/>
            <w:szCs w:val="18"/>
          </w:rPr>
          <w:t>https://www.treasury.gov/resource-center/data-chart-center/interest-rates/pages/textview.aspx?data=yield</w:t>
        </w:r>
      </w:hyperlink>
    </w:p>
    <w:p w14:paraId="4E1772AC" w14:textId="20104A80" w:rsidR="00976BFC" w:rsidRPr="002C49C2" w:rsidRDefault="008D4858" w:rsidP="00976BFC">
      <w:pPr>
        <w:pStyle w:val="EndnoteText"/>
        <w:rPr>
          <w:rFonts w:ascii="Arial" w:hAnsi="Arial" w:cs="Arial"/>
          <w:sz w:val="18"/>
          <w:szCs w:val="18"/>
        </w:rPr>
      </w:pPr>
      <w:hyperlink r:id="rId14" w:history="1">
        <w:r w:rsidR="00976BFC" w:rsidRPr="002C49C2">
          <w:rPr>
            <w:rStyle w:val="Hyperlink"/>
            <w:rFonts w:ascii="Arial" w:hAnsi="Arial" w:cs="Arial"/>
            <w:sz w:val="18"/>
            <w:szCs w:val="18"/>
          </w:rPr>
          <w:t>https://www.journals.elsevier.com/travel-medicine-and-infectious-disease</w:t>
        </w:r>
      </w:hyperlink>
    </w:p>
    <w:p w14:paraId="7496FC89" w14:textId="24D20A72" w:rsidR="00976BFC" w:rsidRDefault="008D4858" w:rsidP="00976BFC">
      <w:pPr>
        <w:pStyle w:val="EndnoteText"/>
        <w:rPr>
          <w:rFonts w:ascii="Arial" w:hAnsi="Arial" w:cs="Arial"/>
          <w:sz w:val="18"/>
          <w:szCs w:val="18"/>
        </w:rPr>
      </w:pPr>
      <w:hyperlink r:id="rId15" w:history="1">
        <w:r w:rsidR="00976BFC" w:rsidRPr="00577CFA">
          <w:rPr>
            <w:rStyle w:val="Hyperlink"/>
            <w:rFonts w:ascii="Arial" w:hAnsi="Arial" w:cs="Arial"/>
            <w:sz w:val="18"/>
            <w:szCs w:val="18"/>
          </w:rPr>
          <w:t>https://www.sciencedirect.com/science/article/pii/S1477893921002167#</w:t>
        </w:r>
      </w:hyperlink>
      <w:r w:rsidR="00976BFC" w:rsidRPr="00A13054">
        <w:rPr>
          <w:rStyle w:val="Hyperlink"/>
        </w:rPr>
        <w:t>!</w:t>
      </w:r>
    </w:p>
    <w:p w14:paraId="5F62FB9E" w14:textId="6F09C8D6" w:rsidR="00976BFC" w:rsidRDefault="008D4858" w:rsidP="00976BFC">
      <w:pPr>
        <w:pStyle w:val="EndnoteText"/>
        <w:rPr>
          <w:rFonts w:ascii="Arial" w:hAnsi="Arial" w:cs="Arial"/>
          <w:sz w:val="18"/>
          <w:szCs w:val="18"/>
        </w:rPr>
      </w:pPr>
      <w:hyperlink r:id="rId16" w:history="1">
        <w:r w:rsidR="00A13054" w:rsidRPr="00577CFA">
          <w:rPr>
            <w:rStyle w:val="Hyperlink"/>
            <w:rFonts w:ascii="Arial" w:hAnsi="Arial" w:cs="Arial"/>
            <w:sz w:val="18"/>
            <w:szCs w:val="18"/>
          </w:rPr>
          <w:t>https://www.brainyquote.com/authors/ralph-waldo-emerson-quotes</w:t>
        </w:r>
      </w:hyperlink>
    </w:p>
    <w:p w14:paraId="36F5ED4D" w14:textId="77777777" w:rsidR="00E73228" w:rsidRPr="00F47B85" w:rsidRDefault="00E73228" w:rsidP="00E73228">
      <w:pPr>
        <w:rPr>
          <w:rStyle w:val="Hyperlink"/>
          <w:rFonts w:ascii="Arial" w:hAnsi="Arial" w:cs="Arial"/>
          <w:color w:val="auto"/>
          <w:sz w:val="18"/>
          <w:szCs w:val="18"/>
          <w:u w:val="none"/>
        </w:rPr>
      </w:pPr>
    </w:p>
    <w:p w14:paraId="139D7206" w14:textId="77777777" w:rsidR="00E73228" w:rsidRPr="00F47B85" w:rsidRDefault="00E73228" w:rsidP="00E73228">
      <w:pPr>
        <w:rPr>
          <w:rStyle w:val="Hyperlink"/>
          <w:rFonts w:ascii="Arial" w:hAnsi="Arial" w:cs="Arial"/>
          <w:color w:val="auto"/>
          <w:sz w:val="18"/>
          <w:szCs w:val="18"/>
          <w:u w:val="none"/>
        </w:rPr>
      </w:pPr>
    </w:p>
    <w:p w14:paraId="1A2C1BDC" w14:textId="77777777" w:rsidR="00E73228" w:rsidRPr="00F47B85" w:rsidRDefault="00E73228" w:rsidP="00E73228">
      <w:pPr>
        <w:pStyle w:val="EndnoteText"/>
        <w:rPr>
          <w:rStyle w:val="Hyperlink"/>
          <w:rFonts w:ascii="Arial" w:hAnsi="Arial" w:cs="Arial"/>
          <w:color w:val="auto"/>
          <w:sz w:val="18"/>
          <w:szCs w:val="18"/>
          <w:u w:val="none"/>
        </w:rPr>
      </w:pPr>
    </w:p>
    <w:p w14:paraId="66C2295B" w14:textId="35F8E78D" w:rsidR="00441CE6" w:rsidRPr="0056229A" w:rsidRDefault="00441CE6" w:rsidP="00E73228">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4"/>
  </w:num>
  <w:num w:numId="5">
    <w:abstractNumId w:val="25"/>
  </w:num>
  <w:num w:numId="6">
    <w:abstractNumId w:val="13"/>
  </w:num>
  <w:num w:numId="7">
    <w:abstractNumId w:val="9"/>
  </w:num>
  <w:num w:numId="8">
    <w:abstractNumId w:val="15"/>
  </w:num>
  <w:num w:numId="9">
    <w:abstractNumId w:val="5"/>
  </w:num>
  <w:num w:numId="10">
    <w:abstractNumId w:val="6"/>
  </w:num>
  <w:num w:numId="11">
    <w:abstractNumId w:val="37"/>
  </w:num>
  <w:num w:numId="12">
    <w:abstractNumId w:val="34"/>
  </w:num>
  <w:num w:numId="13">
    <w:abstractNumId w:val="7"/>
  </w:num>
  <w:num w:numId="14">
    <w:abstractNumId w:val="32"/>
  </w:num>
  <w:num w:numId="15">
    <w:abstractNumId w:val="38"/>
  </w:num>
  <w:num w:numId="16">
    <w:abstractNumId w:val="28"/>
  </w:num>
  <w:num w:numId="17">
    <w:abstractNumId w:val="18"/>
  </w:num>
  <w:num w:numId="18">
    <w:abstractNumId w:val="0"/>
  </w:num>
  <w:num w:numId="19">
    <w:abstractNumId w:val="8"/>
  </w:num>
  <w:num w:numId="20">
    <w:abstractNumId w:val="36"/>
  </w:num>
  <w:num w:numId="21">
    <w:abstractNumId w:val="12"/>
  </w:num>
  <w:num w:numId="22">
    <w:abstractNumId w:val="3"/>
  </w:num>
  <w:num w:numId="23">
    <w:abstractNumId w:val="30"/>
  </w:num>
  <w:num w:numId="24">
    <w:abstractNumId w:val="22"/>
  </w:num>
  <w:num w:numId="25">
    <w:abstractNumId w:val="29"/>
  </w:num>
  <w:num w:numId="26">
    <w:abstractNumId w:val="27"/>
  </w:num>
  <w:num w:numId="27">
    <w:abstractNumId w:val="31"/>
  </w:num>
  <w:num w:numId="28">
    <w:abstractNumId w:val="35"/>
  </w:num>
  <w:num w:numId="29">
    <w:abstractNumId w:val="10"/>
  </w:num>
  <w:num w:numId="30">
    <w:abstractNumId w:val="20"/>
  </w:num>
  <w:num w:numId="31">
    <w:abstractNumId w:val="14"/>
  </w:num>
  <w:num w:numId="32">
    <w:abstractNumId w:val="19"/>
  </w:num>
  <w:num w:numId="33">
    <w:abstractNumId w:val="17"/>
  </w:num>
  <w:num w:numId="34">
    <w:abstractNumId w:val="23"/>
  </w:num>
  <w:num w:numId="35">
    <w:abstractNumId w:val="26"/>
  </w:num>
  <w:num w:numId="36">
    <w:abstractNumId w:val="16"/>
  </w:num>
  <w:num w:numId="37">
    <w:abstractNumId w:val="21"/>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D4858"/>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76BFC"/>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8D48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faqs/economy_14400.htm" TargetMode="Externa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ources.carsongroup.com/hubfs/WMC-Source/2021/11-15-21_Economist_A%20Three-Decade%20High%20in%20Inflation%20Sows%20Concerns%20About%20Americas%20Recovery_2.pdf" TargetMode="External"/><Relationship Id="rId12" Type="http://schemas.openxmlformats.org/officeDocument/2006/relationships/hyperlink" Target="https://resources.carsongroup.com/hubfs/WMC-Source/2021/11-15-21_Barrons_Inflation%20Isnt%20the%20Stock%20Markets%20Biggest%20Problem_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ainyquote.com/authors/ralph-waldo-emerson-quotes" TargetMode="External"/><Relationship Id="rId1" Type="http://schemas.openxmlformats.org/officeDocument/2006/relationships/numbering" Target="numbering.xml"/><Relationship Id="rId6" Type="http://schemas.openxmlformats.org/officeDocument/2006/relationships/hyperlink" Target="https://www.economist.com/finance-and-economics/a-three-decade-high-in-inflation-sows-concerns-about-americas-recovery/21806221" TargetMode="External"/><Relationship Id="rId11" Type="http://schemas.openxmlformats.org/officeDocument/2006/relationships/hyperlink" Target="https://www.barrons.com/articles/stocks-inflation-bonds-51636764203?refsec=the-trader" TargetMode="External"/><Relationship Id="rId5" Type="http://schemas.openxmlformats.org/officeDocument/2006/relationships/hyperlink" Target="https://www.bls.gov/news.release/cpi.nr0.htm" TargetMode="External"/><Relationship Id="rId15" Type="http://schemas.openxmlformats.org/officeDocument/2006/relationships/hyperlink" Target="https://www.sciencedirect.com/science/article/pii/S1477893921002167" TargetMode="External"/><Relationship Id="rId10" Type="http://schemas.openxmlformats.org/officeDocument/2006/relationships/hyperlink" Target="https://www.bea.gov/data/personal-consumption-expenditures-price-index" TargetMode="External"/><Relationship Id="rId4" Type="http://schemas.openxmlformats.org/officeDocument/2006/relationships/webSettings" Target="webSettings.xml"/><Relationship Id="rId9" Type="http://schemas.openxmlformats.org/officeDocument/2006/relationships/hyperlink" Target="https://www.callan.com/blog-archive/cpi-vs-pce/" TargetMode="External"/><Relationship Id="rId14" Type="http://schemas.openxmlformats.org/officeDocument/2006/relationships/hyperlink" Target="https://www.journals.elsevier.com/travel-medicine-and-infectious-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2021-11-15T17:41:00Z</dcterms:created>
  <dcterms:modified xsi:type="dcterms:W3CDTF">2021-11-15T17:41:00Z</dcterms:modified>
</cp:coreProperties>
</file>